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03FD14" w14:textId="77777777" w:rsidR="008C060B" w:rsidRPr="007C0D68" w:rsidRDefault="008C060B" w:rsidP="003B0663">
      <w:pPr>
        <w:spacing w:line="360" w:lineRule="atLeast"/>
        <w:rPr>
          <w:rFonts w:ascii="Verdana" w:hAnsi="Verdana" w:cs="Times New Roman"/>
          <w:b/>
          <w:sz w:val="28"/>
          <w:szCs w:val="28"/>
        </w:rPr>
      </w:pPr>
      <w:r w:rsidRPr="007C0D68">
        <w:rPr>
          <w:rFonts w:ascii="Verdana" w:hAnsi="Verdana" w:cs="Times New Roman"/>
          <w:b/>
          <w:sz w:val="28"/>
          <w:szCs w:val="28"/>
        </w:rPr>
        <w:t>Hintergrundinformation</w:t>
      </w:r>
    </w:p>
    <w:p w14:paraId="77F0E4F6" w14:textId="48D30E2A" w:rsidR="00F51F18" w:rsidRDefault="00D122E9" w:rsidP="00D122E9">
      <w:pPr>
        <w:spacing w:line="360" w:lineRule="atLeast"/>
        <w:rPr>
          <w:rFonts w:ascii="Verdana" w:hAnsi="Verdana" w:cs="Times New Roman"/>
          <w:b/>
          <w:sz w:val="32"/>
          <w:szCs w:val="32"/>
        </w:rPr>
      </w:pPr>
      <w:r w:rsidRPr="00D122E9">
        <w:rPr>
          <w:rFonts w:ascii="Verdana" w:hAnsi="Verdana" w:cs="Times New Roman"/>
          <w:b/>
          <w:sz w:val="32"/>
          <w:szCs w:val="32"/>
        </w:rPr>
        <w:t>Stammspezifische Eigenschaften un</w:t>
      </w:r>
      <w:r w:rsidR="00142B4F">
        <w:rPr>
          <w:rFonts w:ascii="Verdana" w:hAnsi="Verdana" w:cs="Times New Roman"/>
          <w:b/>
          <w:sz w:val="32"/>
          <w:szCs w:val="32"/>
        </w:rPr>
        <w:t>d</w:t>
      </w:r>
      <w:r w:rsidRPr="00D122E9">
        <w:rPr>
          <w:rFonts w:ascii="Verdana" w:hAnsi="Verdana" w:cs="Times New Roman"/>
          <w:b/>
          <w:sz w:val="32"/>
          <w:szCs w:val="32"/>
        </w:rPr>
        <w:t xml:space="preserve"> Wirkprinzipien von Escherichia coli Stamm Nissle 1917</w:t>
      </w:r>
    </w:p>
    <w:p w14:paraId="536CA3B3" w14:textId="356997A6" w:rsidR="00D122E9" w:rsidRPr="007C0D68" w:rsidRDefault="00350840" w:rsidP="00D122E9">
      <w:pPr>
        <w:spacing w:line="280" w:lineRule="atLeast"/>
        <w:rPr>
          <w:rFonts w:ascii="Verdana" w:hAnsi="Verdana" w:cs="Times New Roman"/>
          <w:b/>
          <w:sz w:val="20"/>
          <w:szCs w:val="20"/>
        </w:rPr>
      </w:pPr>
      <w:r w:rsidRPr="007C0D68">
        <w:rPr>
          <w:rFonts w:ascii="Verdana" w:hAnsi="Verdana" w:cs="Times New Roman"/>
          <w:b/>
          <w:sz w:val="20"/>
          <w:szCs w:val="20"/>
        </w:rPr>
        <w:t>D</w:t>
      </w:r>
      <w:r w:rsidR="00D122E9" w:rsidRPr="007C0D68">
        <w:rPr>
          <w:rFonts w:ascii="Verdana" w:hAnsi="Verdana" w:cs="Times New Roman"/>
          <w:b/>
          <w:sz w:val="20"/>
          <w:szCs w:val="20"/>
        </w:rPr>
        <w:t>as natürliche Darmbakterium Escherichia coli Stamm Nissle 1917 (EcN) wurde umfangreich erforscht und sein Genom komplett sequenziert: EcN ist apathogen, genetisch stabil, durchsetzungsfähig, antagonistisch aktiv gegenüber Fremdkeimen, antientzündlich und immunmodulierend wirksam.</w:t>
      </w:r>
    </w:p>
    <w:p w14:paraId="09D0E405" w14:textId="77777777" w:rsidR="00D122E9" w:rsidRPr="007C0D68" w:rsidRDefault="00D122E9" w:rsidP="00D122E9">
      <w:pPr>
        <w:spacing w:line="280" w:lineRule="atLeast"/>
        <w:rPr>
          <w:rFonts w:ascii="Verdana" w:hAnsi="Verdana" w:cs="Times New Roman"/>
          <w:sz w:val="20"/>
          <w:szCs w:val="20"/>
        </w:rPr>
      </w:pPr>
      <w:r w:rsidRPr="007C0D68">
        <w:rPr>
          <w:rFonts w:ascii="Verdana" w:hAnsi="Verdana" w:cs="Times New Roman"/>
          <w:sz w:val="20"/>
          <w:szCs w:val="20"/>
        </w:rPr>
        <w:t>Nicht jedes Bakterium aus der natürlichen Darmmikrobiota eignet sich als Probiotikum. E. coli besitzt als weitverbreiteter Erstbesiedler des Darms wichtige Voraussetzungen zur Förderung der Darmgesundheit. Doch erst seine stammspezifischen Eigenschaften machen EcN zu einem effektiven probiotischen Therapeutikum. Sie fördern zum einen seine Ansiedlung und Resistenz im Ökosystem Darm und sind zum anderen essenziell für die therapeutische Wirksamkeit</w:t>
      </w:r>
      <w:r w:rsidRPr="007C0D68">
        <w:rPr>
          <w:rFonts w:ascii="Verdana" w:hAnsi="Verdana" w:cs="Times New Roman"/>
          <w:color w:val="000000" w:themeColor="text1"/>
          <w:sz w:val="20"/>
          <w:szCs w:val="20"/>
        </w:rPr>
        <w:t>.</w:t>
      </w:r>
    </w:p>
    <w:p w14:paraId="2DC84D10" w14:textId="77777777" w:rsidR="00D122E9" w:rsidRPr="007C0D68" w:rsidRDefault="00D122E9" w:rsidP="00D122E9">
      <w:pPr>
        <w:spacing w:after="0" w:line="280" w:lineRule="atLeast"/>
        <w:rPr>
          <w:rFonts w:ascii="Verdana" w:hAnsi="Verdana" w:cs="Times New Roman"/>
          <w:b/>
          <w:sz w:val="20"/>
          <w:szCs w:val="20"/>
        </w:rPr>
      </w:pPr>
      <w:r w:rsidRPr="007C0D68">
        <w:rPr>
          <w:rFonts w:ascii="Verdana" w:hAnsi="Verdana" w:cs="Times New Roman"/>
          <w:b/>
          <w:sz w:val="20"/>
          <w:szCs w:val="20"/>
        </w:rPr>
        <w:t>Ein Stamm mit vielen Besonderheiten</w:t>
      </w:r>
    </w:p>
    <w:p w14:paraId="78412FF5" w14:textId="77777777" w:rsidR="00D122E9" w:rsidRPr="007C0D68" w:rsidRDefault="00D122E9" w:rsidP="00D122E9">
      <w:pPr>
        <w:spacing w:line="280" w:lineRule="atLeast"/>
        <w:rPr>
          <w:rFonts w:ascii="Verdana" w:hAnsi="Verdana" w:cs="Times New Roman"/>
          <w:sz w:val="20"/>
          <w:szCs w:val="20"/>
        </w:rPr>
      </w:pPr>
      <w:r w:rsidRPr="007C0D68">
        <w:rPr>
          <w:rFonts w:ascii="Verdana" w:hAnsi="Verdana" w:cs="Times New Roman"/>
          <w:sz w:val="20"/>
          <w:szCs w:val="20"/>
        </w:rPr>
        <w:t xml:space="preserve">Verschiedene spezifische Eigenschaften wurden im Rahmen eines umfangreichen Studienprogramms nachgewiesen und sind nicht auf andere Probiotika übertragbar. Charakteristisch für EcN sind etwa Flagellen zur aktiven Fortbewegung und Adhärenz an der Darmwand, verschiedene Fimbrien zur Ausbildung eines </w:t>
      </w:r>
      <w:proofErr w:type="spellStart"/>
      <w:r w:rsidRPr="007C0D68">
        <w:rPr>
          <w:rFonts w:ascii="Verdana" w:hAnsi="Verdana" w:cs="Times New Roman"/>
          <w:sz w:val="20"/>
          <w:szCs w:val="20"/>
        </w:rPr>
        <w:t>Biofilms</w:t>
      </w:r>
      <w:proofErr w:type="spellEnd"/>
      <w:r w:rsidRPr="007C0D68">
        <w:rPr>
          <w:rFonts w:ascii="Verdana" w:hAnsi="Verdana" w:cs="Times New Roman"/>
          <w:sz w:val="20"/>
          <w:szCs w:val="20"/>
        </w:rPr>
        <w:t>, die Ausschüttung antagonistischer Mikrocine sowie eine besondere immunmodularische Lipopolysaccharid-Variante (LPS), die bisher bei keinem anderen Stamm nachgewiesen wurde (Abb. 1).</w:t>
      </w:r>
    </w:p>
    <w:p w14:paraId="77D9BF57" w14:textId="77777777" w:rsidR="00D122E9" w:rsidRPr="007C0D68" w:rsidRDefault="00D122E9" w:rsidP="00D122E9">
      <w:pPr>
        <w:spacing w:after="120" w:line="280" w:lineRule="atLeast"/>
        <w:rPr>
          <w:rFonts w:ascii="Verdana" w:hAnsi="Verdana" w:cs="Times New Roman"/>
          <w:sz w:val="20"/>
          <w:szCs w:val="20"/>
        </w:rPr>
      </w:pPr>
      <w:r w:rsidRPr="007C0D68">
        <w:rPr>
          <w:rFonts w:ascii="Verdana" w:hAnsi="Verdana" w:cs="Times New Roman"/>
          <w:sz w:val="20"/>
          <w:szCs w:val="20"/>
        </w:rPr>
        <w:t>EcN ist:</w:t>
      </w:r>
    </w:p>
    <w:p w14:paraId="778E57D3" w14:textId="77777777" w:rsidR="00D122E9" w:rsidRPr="007C0D68" w:rsidRDefault="00D122E9" w:rsidP="00D122E9">
      <w:pPr>
        <w:pStyle w:val="Listenabsatz"/>
        <w:numPr>
          <w:ilvl w:val="0"/>
          <w:numId w:val="4"/>
        </w:numPr>
        <w:spacing w:before="120" w:after="0" w:line="280" w:lineRule="atLeast"/>
        <w:ind w:left="357" w:hanging="357"/>
        <w:contextualSpacing w:val="0"/>
        <w:rPr>
          <w:rFonts w:ascii="Verdana" w:hAnsi="Verdana" w:cs="Times New Roman"/>
          <w:sz w:val="20"/>
          <w:szCs w:val="20"/>
        </w:rPr>
      </w:pPr>
      <w:r w:rsidRPr="007C0D68">
        <w:rPr>
          <w:rFonts w:ascii="Verdana" w:hAnsi="Verdana" w:cs="Times New Roman"/>
          <w:sz w:val="20"/>
          <w:szCs w:val="20"/>
        </w:rPr>
        <w:t>beweglich durch Typ H1-Flagellen,</w:t>
      </w:r>
    </w:p>
    <w:p w14:paraId="2ACC3729" w14:textId="77777777" w:rsidR="00D122E9" w:rsidRPr="007C0D68" w:rsidRDefault="00D122E9" w:rsidP="00D122E9">
      <w:pPr>
        <w:pStyle w:val="Listenabsatz"/>
        <w:numPr>
          <w:ilvl w:val="0"/>
          <w:numId w:val="4"/>
        </w:numPr>
        <w:spacing w:before="120" w:after="0" w:line="280" w:lineRule="atLeast"/>
        <w:ind w:left="357" w:hanging="357"/>
        <w:contextualSpacing w:val="0"/>
        <w:rPr>
          <w:rFonts w:ascii="Verdana" w:hAnsi="Verdana" w:cs="Times New Roman"/>
          <w:sz w:val="20"/>
          <w:szCs w:val="20"/>
        </w:rPr>
      </w:pPr>
      <w:r w:rsidRPr="007C0D68">
        <w:rPr>
          <w:rFonts w:ascii="Verdana" w:hAnsi="Verdana" w:cs="Times New Roman"/>
          <w:sz w:val="20"/>
          <w:szCs w:val="20"/>
        </w:rPr>
        <w:t>siedlungsfähig durch spezifische Interaktion seiner Flagellen mit der Mucinschicht,</w:t>
      </w:r>
    </w:p>
    <w:p w14:paraId="776CDCF5" w14:textId="77777777" w:rsidR="00D122E9" w:rsidRPr="007C0D68" w:rsidRDefault="00D122E9" w:rsidP="00D122E9">
      <w:pPr>
        <w:pStyle w:val="Listenabsatz"/>
        <w:numPr>
          <w:ilvl w:val="0"/>
          <w:numId w:val="4"/>
        </w:numPr>
        <w:spacing w:before="120" w:after="0" w:line="280" w:lineRule="atLeast"/>
        <w:ind w:left="357" w:hanging="357"/>
        <w:contextualSpacing w:val="0"/>
        <w:rPr>
          <w:rFonts w:ascii="Verdana" w:hAnsi="Verdana" w:cs="Times New Roman"/>
          <w:sz w:val="20"/>
          <w:szCs w:val="20"/>
        </w:rPr>
      </w:pPr>
      <w:r w:rsidRPr="007C0D68">
        <w:rPr>
          <w:rFonts w:ascii="Verdana" w:hAnsi="Verdana" w:cs="Times New Roman"/>
          <w:sz w:val="20"/>
          <w:szCs w:val="20"/>
        </w:rPr>
        <w:t>fähig zur Biofilmbildung durch F1A-, F1C- und Curli-Fimbrien,</w:t>
      </w:r>
    </w:p>
    <w:p w14:paraId="2665A4A2" w14:textId="77777777" w:rsidR="00D122E9" w:rsidRPr="007C0D68" w:rsidRDefault="00D122E9" w:rsidP="00D122E9">
      <w:pPr>
        <w:pStyle w:val="Listenabsatz"/>
        <w:numPr>
          <w:ilvl w:val="0"/>
          <w:numId w:val="4"/>
        </w:numPr>
        <w:spacing w:before="120" w:after="0" w:line="280" w:lineRule="atLeast"/>
        <w:ind w:left="357" w:hanging="357"/>
        <w:contextualSpacing w:val="0"/>
        <w:rPr>
          <w:rFonts w:ascii="Verdana" w:hAnsi="Verdana" w:cs="Times New Roman"/>
          <w:sz w:val="20"/>
          <w:szCs w:val="20"/>
        </w:rPr>
      </w:pPr>
      <w:r w:rsidRPr="007C0D68">
        <w:rPr>
          <w:rFonts w:ascii="Verdana" w:hAnsi="Verdana" w:cs="Times New Roman"/>
          <w:sz w:val="20"/>
          <w:szCs w:val="20"/>
        </w:rPr>
        <w:t>antagonistisch aktiv gegenüber Fremdkeimen durch Bildung antimikrobiell wirksamer Mikrocine,</w:t>
      </w:r>
    </w:p>
    <w:p w14:paraId="2469979F" w14:textId="77777777" w:rsidR="00D122E9" w:rsidRPr="007C0D68" w:rsidRDefault="00D122E9" w:rsidP="00D122E9">
      <w:pPr>
        <w:pStyle w:val="Listenabsatz"/>
        <w:numPr>
          <w:ilvl w:val="0"/>
          <w:numId w:val="4"/>
        </w:numPr>
        <w:spacing w:before="120" w:after="0" w:line="280" w:lineRule="atLeast"/>
        <w:ind w:left="357" w:hanging="357"/>
        <w:contextualSpacing w:val="0"/>
        <w:rPr>
          <w:rFonts w:ascii="Verdana" w:hAnsi="Verdana" w:cs="Times New Roman"/>
          <w:sz w:val="20"/>
          <w:szCs w:val="20"/>
        </w:rPr>
      </w:pPr>
      <w:r w:rsidRPr="007C0D68">
        <w:rPr>
          <w:rFonts w:ascii="Verdana" w:hAnsi="Verdana" w:cs="Times New Roman"/>
          <w:sz w:val="20"/>
          <w:szCs w:val="20"/>
        </w:rPr>
        <w:t>vital und durchsetzungsfähig („biologische Fitness“) durch multiple Eisenaufnahmesysteme,</w:t>
      </w:r>
    </w:p>
    <w:p w14:paraId="01EA6E28" w14:textId="0A81440A" w:rsidR="00FA5571" w:rsidRDefault="00D122E9" w:rsidP="00D122E9">
      <w:pPr>
        <w:pStyle w:val="Listenabsatz"/>
        <w:numPr>
          <w:ilvl w:val="0"/>
          <w:numId w:val="4"/>
        </w:numPr>
        <w:spacing w:before="120" w:after="0" w:line="280" w:lineRule="atLeast"/>
        <w:ind w:left="357" w:hanging="357"/>
        <w:contextualSpacing w:val="0"/>
        <w:rPr>
          <w:rFonts w:ascii="Verdana" w:hAnsi="Verdana" w:cs="Times New Roman"/>
          <w:sz w:val="20"/>
          <w:szCs w:val="20"/>
        </w:rPr>
      </w:pPr>
      <w:r w:rsidRPr="007C0D68">
        <w:rPr>
          <w:rFonts w:ascii="Verdana" w:hAnsi="Verdana" w:cs="Times New Roman"/>
          <w:sz w:val="20"/>
          <w:szCs w:val="20"/>
        </w:rPr>
        <w:t xml:space="preserve">immunmodulierend durch stammspezifische Oberflächenstrukturen </w:t>
      </w:r>
      <w:r w:rsidRPr="007C0D68">
        <w:rPr>
          <w:rFonts w:ascii="Verdana" w:eastAsia="MingLiU" w:hAnsi="Verdana" w:cs="MingLiU"/>
          <w:sz w:val="20"/>
          <w:szCs w:val="20"/>
        </w:rPr>
        <w:br/>
      </w:r>
      <w:r w:rsidRPr="007C0D68">
        <w:rPr>
          <w:rFonts w:ascii="Verdana" w:hAnsi="Verdana" w:cs="Times New Roman"/>
          <w:sz w:val="20"/>
          <w:szCs w:val="20"/>
        </w:rPr>
        <w:t>(spezielles LPS) und die Bildung von Signalstoffen,</w:t>
      </w:r>
    </w:p>
    <w:p w14:paraId="1C1BEDA1" w14:textId="77777777" w:rsidR="00FA5571" w:rsidRDefault="00FA5571">
      <w:pPr>
        <w:spacing w:after="0" w:line="240" w:lineRule="auto"/>
        <w:rPr>
          <w:rFonts w:ascii="Verdana" w:hAnsi="Verdana" w:cs="Times New Roman"/>
          <w:sz w:val="20"/>
          <w:szCs w:val="20"/>
        </w:rPr>
      </w:pPr>
      <w:r>
        <w:rPr>
          <w:rFonts w:ascii="Verdana" w:hAnsi="Verdana" w:cs="Times New Roman"/>
          <w:sz w:val="20"/>
          <w:szCs w:val="20"/>
        </w:rPr>
        <w:br w:type="page"/>
      </w:r>
    </w:p>
    <w:p w14:paraId="19909B46" w14:textId="77777777" w:rsidR="00D122E9" w:rsidRPr="007C0D68" w:rsidRDefault="00D122E9" w:rsidP="00D122E9">
      <w:pPr>
        <w:pStyle w:val="Listenabsatz"/>
        <w:numPr>
          <w:ilvl w:val="0"/>
          <w:numId w:val="4"/>
        </w:numPr>
        <w:spacing w:before="120" w:after="0" w:line="280" w:lineRule="atLeast"/>
        <w:ind w:left="357" w:hanging="357"/>
        <w:contextualSpacing w:val="0"/>
        <w:rPr>
          <w:rFonts w:ascii="Verdana" w:hAnsi="Verdana" w:cs="Times New Roman"/>
          <w:sz w:val="20"/>
          <w:szCs w:val="20"/>
        </w:rPr>
      </w:pPr>
      <w:r w:rsidRPr="007C0D68">
        <w:rPr>
          <w:rFonts w:ascii="Verdana" w:hAnsi="Verdana" w:cs="Times New Roman"/>
          <w:sz w:val="20"/>
          <w:szCs w:val="20"/>
        </w:rPr>
        <w:lastRenderedPageBreak/>
        <w:t>antientzündlich wirksam durch Regulation von Zytokinen,</w:t>
      </w:r>
    </w:p>
    <w:p w14:paraId="5BA17C63" w14:textId="77777777" w:rsidR="00D122E9" w:rsidRPr="007C0D68" w:rsidRDefault="00D122E9" w:rsidP="00D122E9">
      <w:pPr>
        <w:pStyle w:val="Listenabsatz"/>
        <w:numPr>
          <w:ilvl w:val="0"/>
          <w:numId w:val="4"/>
        </w:numPr>
        <w:spacing w:before="120" w:line="280" w:lineRule="atLeast"/>
        <w:ind w:left="357" w:hanging="357"/>
        <w:contextualSpacing w:val="0"/>
        <w:rPr>
          <w:rFonts w:ascii="Verdana" w:hAnsi="Verdana" w:cs="Times New Roman"/>
          <w:sz w:val="20"/>
          <w:szCs w:val="20"/>
        </w:rPr>
      </w:pPr>
      <w:r w:rsidRPr="007C0D68">
        <w:rPr>
          <w:rFonts w:ascii="Verdana" w:hAnsi="Verdana" w:cs="Times New Roman"/>
          <w:sz w:val="20"/>
          <w:szCs w:val="20"/>
        </w:rPr>
        <w:t>und besitzt eine stabilisierende Wirkung auf die Barrierefunktion der Darmschleimhaut.</w:t>
      </w:r>
    </w:p>
    <w:p w14:paraId="5D2DB608" w14:textId="77777777" w:rsidR="00D122E9" w:rsidRPr="007C0D68" w:rsidRDefault="00D122E9" w:rsidP="00D122E9">
      <w:pPr>
        <w:spacing w:after="0" w:line="280" w:lineRule="atLeast"/>
        <w:rPr>
          <w:rFonts w:ascii="Verdana" w:hAnsi="Verdana" w:cs="Times New Roman"/>
          <w:b/>
          <w:sz w:val="20"/>
          <w:szCs w:val="20"/>
        </w:rPr>
      </w:pPr>
      <w:r w:rsidRPr="007C0D68">
        <w:rPr>
          <w:rFonts w:ascii="Verdana" w:hAnsi="Verdana" w:cs="Times New Roman"/>
          <w:b/>
          <w:sz w:val="20"/>
          <w:szCs w:val="20"/>
        </w:rPr>
        <w:t>Therapeutische Wirkung von EcN</w:t>
      </w:r>
    </w:p>
    <w:p w14:paraId="3DAD4977" w14:textId="77777777" w:rsidR="00D122E9" w:rsidRPr="007C0D68" w:rsidRDefault="00D122E9" w:rsidP="00D122E9">
      <w:pPr>
        <w:spacing w:line="280" w:lineRule="atLeast"/>
        <w:rPr>
          <w:rFonts w:ascii="Verdana" w:hAnsi="Verdana" w:cs="Times New Roman"/>
          <w:sz w:val="20"/>
          <w:szCs w:val="20"/>
        </w:rPr>
      </w:pPr>
      <w:r w:rsidRPr="007C0D68">
        <w:rPr>
          <w:rFonts w:ascii="Verdana" w:hAnsi="Verdana" w:cs="Times New Roman"/>
          <w:sz w:val="20"/>
          <w:szCs w:val="20"/>
        </w:rPr>
        <w:t>Aus den verschiedenen phänotypischen und genetischen Charakteristika des Bakteriums ergibt sich eine ganze Reihe der Darmgesundheit förderlicher Wirkmechanismen und Effekte (Tab. 1 und Abb. 2). Sie greifen ineinander und machen die besondere Eignung von EcN als Probiotikum aus.</w:t>
      </w:r>
    </w:p>
    <w:p w14:paraId="3BE83E09" w14:textId="77777777" w:rsidR="00D122E9" w:rsidRPr="007C0D68" w:rsidRDefault="00D122E9" w:rsidP="00D122E9">
      <w:pPr>
        <w:spacing w:line="280" w:lineRule="atLeast"/>
        <w:rPr>
          <w:rFonts w:ascii="Verdana" w:hAnsi="Verdana" w:cs="Times New Roman"/>
          <w:sz w:val="20"/>
          <w:szCs w:val="20"/>
        </w:rPr>
      </w:pPr>
      <w:r w:rsidRPr="007C0D68">
        <w:rPr>
          <w:rFonts w:ascii="Verdana" w:hAnsi="Verdana" w:cs="Times New Roman"/>
          <w:b/>
          <w:sz w:val="20"/>
          <w:szCs w:val="20"/>
        </w:rPr>
        <w:t xml:space="preserve">Tab. 1 </w:t>
      </w:r>
      <w:r w:rsidRPr="007C0D68">
        <w:rPr>
          <w:rFonts w:ascii="Verdana" w:hAnsi="Verdana" w:cs="Times New Roman"/>
          <w:sz w:val="20"/>
          <w:szCs w:val="20"/>
        </w:rPr>
        <w:t>Mutaflor</w:t>
      </w:r>
      <w:r w:rsidRPr="007C0D68">
        <w:rPr>
          <w:rFonts w:ascii="Verdana" w:hAnsi="Verdana" w:cs="Times New Roman"/>
          <w:bCs/>
          <w:sz w:val="20"/>
          <w:szCs w:val="20"/>
          <w:vertAlign w:val="superscript"/>
        </w:rPr>
        <w:t>®</w:t>
      </w:r>
      <w:r w:rsidRPr="007C0D68">
        <w:rPr>
          <w:rFonts w:ascii="Verdana" w:hAnsi="Verdana" w:cs="Times New Roman"/>
          <w:sz w:val="20"/>
          <w:szCs w:val="20"/>
        </w:rPr>
        <w:t>-Charakteristika und therapeutische Wirkung</w:t>
      </w:r>
    </w:p>
    <w:tbl>
      <w:tblPr>
        <w:tblStyle w:val="Tabellenraster"/>
        <w:tblW w:w="7946" w:type="dxa"/>
        <w:tblInd w:w="107" w:type="dxa"/>
        <w:tblLook w:val="04A0" w:firstRow="1" w:lastRow="0" w:firstColumn="1" w:lastColumn="0" w:noHBand="0" w:noVBand="1"/>
      </w:tblPr>
      <w:tblGrid>
        <w:gridCol w:w="4119"/>
        <w:gridCol w:w="3827"/>
      </w:tblGrid>
      <w:tr w:rsidR="00D122E9" w:rsidRPr="007C0D68" w14:paraId="63DFFAEB" w14:textId="77777777" w:rsidTr="00CF1A7E">
        <w:tc>
          <w:tcPr>
            <w:tcW w:w="4119" w:type="dxa"/>
          </w:tcPr>
          <w:p w14:paraId="57A0B702" w14:textId="77777777" w:rsidR="00D122E9" w:rsidRPr="007C0D68" w:rsidRDefault="00D122E9" w:rsidP="00CF1A7E">
            <w:pPr>
              <w:spacing w:line="280" w:lineRule="atLeast"/>
              <w:rPr>
                <w:rFonts w:ascii="Verdana" w:hAnsi="Verdana" w:cs="Times New Roman"/>
                <w:b/>
                <w:sz w:val="20"/>
                <w:szCs w:val="20"/>
              </w:rPr>
            </w:pPr>
            <w:r w:rsidRPr="007C0D68">
              <w:rPr>
                <w:rFonts w:ascii="Verdana" w:hAnsi="Verdana" w:cs="Times New Roman"/>
                <w:b/>
                <w:sz w:val="20"/>
                <w:szCs w:val="20"/>
              </w:rPr>
              <w:t>Charakteristika</w:t>
            </w:r>
          </w:p>
        </w:tc>
        <w:tc>
          <w:tcPr>
            <w:tcW w:w="3827" w:type="dxa"/>
          </w:tcPr>
          <w:p w14:paraId="4B99BC77" w14:textId="77777777" w:rsidR="00D122E9" w:rsidRPr="007C0D68" w:rsidRDefault="00D122E9" w:rsidP="00CF1A7E">
            <w:pPr>
              <w:spacing w:line="280" w:lineRule="atLeast"/>
              <w:rPr>
                <w:rFonts w:ascii="Verdana" w:hAnsi="Verdana" w:cs="Times New Roman"/>
                <w:b/>
                <w:sz w:val="20"/>
                <w:szCs w:val="20"/>
              </w:rPr>
            </w:pPr>
            <w:r w:rsidRPr="007C0D68">
              <w:rPr>
                <w:rFonts w:ascii="Verdana" w:hAnsi="Verdana" w:cs="Times New Roman"/>
                <w:b/>
                <w:sz w:val="20"/>
                <w:szCs w:val="20"/>
              </w:rPr>
              <w:t>Therapeutische Effekte</w:t>
            </w:r>
          </w:p>
        </w:tc>
      </w:tr>
      <w:tr w:rsidR="00D122E9" w:rsidRPr="007C0D68" w14:paraId="06F0928D" w14:textId="77777777" w:rsidTr="00CF1A7E">
        <w:tc>
          <w:tcPr>
            <w:tcW w:w="4119" w:type="dxa"/>
          </w:tcPr>
          <w:p w14:paraId="22A9F379" w14:textId="77777777" w:rsidR="00D122E9" w:rsidRPr="007C0D68" w:rsidRDefault="00D122E9" w:rsidP="00CF1A7E">
            <w:pPr>
              <w:spacing w:line="280" w:lineRule="atLeast"/>
              <w:rPr>
                <w:rFonts w:ascii="Verdana" w:hAnsi="Verdana" w:cs="Times New Roman"/>
                <w:sz w:val="20"/>
                <w:szCs w:val="20"/>
              </w:rPr>
            </w:pPr>
            <w:r w:rsidRPr="007C0D68">
              <w:rPr>
                <w:rFonts w:ascii="Verdana" w:hAnsi="Verdana" w:cs="Times New Roman"/>
                <w:sz w:val="20"/>
                <w:szCs w:val="20"/>
              </w:rPr>
              <w:t>Bildung kurzkettiger Karbonsäuren, z. B. Acetat</w:t>
            </w:r>
          </w:p>
        </w:tc>
        <w:tc>
          <w:tcPr>
            <w:tcW w:w="3827" w:type="dxa"/>
          </w:tcPr>
          <w:p w14:paraId="6CEE2439" w14:textId="77777777" w:rsidR="00D122E9" w:rsidRPr="007C0D68" w:rsidRDefault="00D122E9" w:rsidP="00CF1A7E">
            <w:pPr>
              <w:spacing w:line="280" w:lineRule="atLeast"/>
              <w:rPr>
                <w:rFonts w:ascii="Verdana" w:hAnsi="Verdana" w:cs="Times New Roman"/>
                <w:sz w:val="20"/>
                <w:szCs w:val="20"/>
              </w:rPr>
            </w:pPr>
            <w:r w:rsidRPr="007C0D68">
              <w:rPr>
                <w:rFonts w:ascii="Verdana" w:hAnsi="Verdana" w:cs="Times New Roman"/>
                <w:sz w:val="20"/>
                <w:szCs w:val="20"/>
              </w:rPr>
              <w:t>wirkt positiv auf die Darmmuskulatur</w:t>
            </w:r>
            <w:r w:rsidRPr="007C0D68">
              <w:rPr>
                <w:rFonts w:ascii="Verdana" w:hAnsi="Verdana" w:cs="Times New Roman"/>
                <w:sz w:val="20"/>
                <w:szCs w:val="20"/>
                <w:vertAlign w:val="superscript"/>
              </w:rPr>
              <w:t>1, 2</w:t>
            </w:r>
          </w:p>
        </w:tc>
      </w:tr>
      <w:tr w:rsidR="00D122E9" w:rsidRPr="007C0D68" w14:paraId="176E807B" w14:textId="77777777" w:rsidTr="00CF1A7E">
        <w:tc>
          <w:tcPr>
            <w:tcW w:w="4119" w:type="dxa"/>
          </w:tcPr>
          <w:p w14:paraId="5632D7CE" w14:textId="77777777" w:rsidR="00D122E9" w:rsidRPr="007C0D68" w:rsidRDefault="00D122E9" w:rsidP="00CF1A7E">
            <w:pPr>
              <w:spacing w:line="280" w:lineRule="atLeast"/>
              <w:rPr>
                <w:rFonts w:ascii="Verdana" w:hAnsi="Verdana" w:cs="Times New Roman"/>
                <w:sz w:val="20"/>
                <w:szCs w:val="20"/>
              </w:rPr>
            </w:pPr>
            <w:r w:rsidRPr="007C0D68">
              <w:rPr>
                <w:rFonts w:ascii="Verdana" w:hAnsi="Verdana" w:cs="Times New Roman"/>
                <w:sz w:val="20"/>
                <w:szCs w:val="20"/>
              </w:rPr>
              <w:t>Biofilm-Bildung</w:t>
            </w:r>
            <w:r w:rsidRPr="007C0D68">
              <w:rPr>
                <w:rFonts w:ascii="Verdana" w:hAnsi="Verdana" w:cs="Times New Roman"/>
                <w:sz w:val="20"/>
                <w:szCs w:val="20"/>
              </w:rPr>
              <w:br/>
            </w:r>
            <w:proofErr w:type="spellStart"/>
            <w:r w:rsidRPr="007C0D68">
              <w:rPr>
                <w:rFonts w:ascii="Verdana" w:hAnsi="Verdana" w:cs="Times New Roman"/>
                <w:sz w:val="20"/>
                <w:szCs w:val="20"/>
              </w:rPr>
              <w:t>Mucin</w:t>
            </w:r>
            <w:proofErr w:type="spellEnd"/>
            <w:r w:rsidRPr="007C0D68">
              <w:rPr>
                <w:rFonts w:ascii="Verdana" w:hAnsi="Verdana" w:cs="Times New Roman"/>
                <w:sz w:val="20"/>
                <w:szCs w:val="20"/>
              </w:rPr>
              <w:t>-Produktion</w:t>
            </w:r>
            <w:r w:rsidRPr="007C0D68">
              <w:rPr>
                <w:rFonts w:ascii="Verdana" w:hAnsi="Verdana" w:cs="Times New Roman"/>
                <w:sz w:val="20"/>
                <w:szCs w:val="20"/>
              </w:rPr>
              <w:br/>
              <w:t>Tight Junction-Stärkung</w:t>
            </w:r>
          </w:p>
        </w:tc>
        <w:tc>
          <w:tcPr>
            <w:tcW w:w="3827" w:type="dxa"/>
          </w:tcPr>
          <w:p w14:paraId="778DD698" w14:textId="77777777" w:rsidR="00D122E9" w:rsidRPr="007C0D68" w:rsidRDefault="00D122E9" w:rsidP="00CF1A7E">
            <w:pPr>
              <w:spacing w:line="280" w:lineRule="atLeast"/>
              <w:rPr>
                <w:rFonts w:ascii="Verdana" w:hAnsi="Verdana" w:cs="Times New Roman"/>
                <w:sz w:val="20"/>
                <w:szCs w:val="20"/>
              </w:rPr>
            </w:pPr>
            <w:r w:rsidRPr="007C0D68">
              <w:rPr>
                <w:rFonts w:ascii="Verdana" w:hAnsi="Verdana" w:cs="Times New Roman"/>
                <w:sz w:val="20"/>
                <w:szCs w:val="20"/>
              </w:rPr>
              <w:t>stabilisiert die Darmbarriere</w:t>
            </w:r>
            <w:r w:rsidRPr="007C0D68">
              <w:rPr>
                <w:rFonts w:ascii="Verdana" w:hAnsi="Verdana" w:cs="Times New Roman"/>
                <w:sz w:val="20"/>
                <w:szCs w:val="20"/>
                <w:vertAlign w:val="superscript"/>
              </w:rPr>
              <w:t>3, 4</w:t>
            </w:r>
          </w:p>
        </w:tc>
      </w:tr>
      <w:tr w:rsidR="00D122E9" w:rsidRPr="007C0D68" w14:paraId="402FF338" w14:textId="77777777" w:rsidTr="00CF1A7E">
        <w:tc>
          <w:tcPr>
            <w:tcW w:w="4119" w:type="dxa"/>
          </w:tcPr>
          <w:p w14:paraId="05439A85" w14:textId="77777777" w:rsidR="00D122E9" w:rsidRPr="007C0D68" w:rsidRDefault="00D122E9" w:rsidP="00CF1A7E">
            <w:pPr>
              <w:spacing w:line="280" w:lineRule="atLeast"/>
              <w:rPr>
                <w:rFonts w:ascii="Verdana" w:hAnsi="Verdana" w:cs="Times New Roman"/>
                <w:sz w:val="20"/>
                <w:szCs w:val="20"/>
              </w:rPr>
            </w:pPr>
            <w:r w:rsidRPr="007C0D68">
              <w:rPr>
                <w:rFonts w:ascii="Verdana" w:hAnsi="Verdana" w:cs="Times New Roman"/>
                <w:sz w:val="20"/>
                <w:szCs w:val="20"/>
              </w:rPr>
              <w:t xml:space="preserve">Hemmung/Abtötung pathogener Bakterien und Pilze, z. B. Salmonella, EIEC, AIEC, Shigella, </w:t>
            </w:r>
            <w:proofErr w:type="spellStart"/>
            <w:r w:rsidRPr="007C0D68">
              <w:rPr>
                <w:rFonts w:ascii="Verdana" w:hAnsi="Verdana" w:cs="Times New Roman"/>
                <w:sz w:val="20"/>
                <w:szCs w:val="20"/>
              </w:rPr>
              <w:t>Yersinia</w:t>
            </w:r>
            <w:proofErr w:type="spellEnd"/>
            <w:r w:rsidRPr="007C0D68">
              <w:rPr>
                <w:rFonts w:ascii="Verdana" w:hAnsi="Verdana" w:cs="Times New Roman"/>
                <w:sz w:val="20"/>
                <w:szCs w:val="20"/>
              </w:rPr>
              <w:t>, Listeria, Candida</w:t>
            </w:r>
          </w:p>
        </w:tc>
        <w:tc>
          <w:tcPr>
            <w:tcW w:w="3827" w:type="dxa"/>
          </w:tcPr>
          <w:p w14:paraId="0D8B9DC3" w14:textId="77777777" w:rsidR="00D122E9" w:rsidRPr="007C0D68" w:rsidRDefault="00D122E9" w:rsidP="00CF1A7E">
            <w:pPr>
              <w:spacing w:line="280" w:lineRule="atLeast"/>
              <w:rPr>
                <w:rFonts w:ascii="Verdana" w:hAnsi="Verdana" w:cs="Times New Roman"/>
                <w:sz w:val="20"/>
                <w:szCs w:val="20"/>
              </w:rPr>
            </w:pPr>
            <w:r w:rsidRPr="007C0D68">
              <w:rPr>
                <w:rFonts w:ascii="Verdana" w:hAnsi="Verdana" w:cs="Times New Roman"/>
                <w:sz w:val="20"/>
                <w:szCs w:val="20"/>
              </w:rPr>
              <w:t>reguliert die Darmflora</w:t>
            </w:r>
            <w:r w:rsidRPr="007C0D68">
              <w:rPr>
                <w:rFonts w:ascii="Verdana" w:hAnsi="Verdana" w:cs="Times New Roman"/>
                <w:sz w:val="20"/>
                <w:szCs w:val="20"/>
                <w:vertAlign w:val="superscript"/>
              </w:rPr>
              <w:t>5–7</w:t>
            </w:r>
          </w:p>
        </w:tc>
      </w:tr>
      <w:tr w:rsidR="00D122E9" w:rsidRPr="007C0D68" w14:paraId="302E8882" w14:textId="77777777" w:rsidTr="00CF1A7E">
        <w:tc>
          <w:tcPr>
            <w:tcW w:w="4119" w:type="dxa"/>
          </w:tcPr>
          <w:p w14:paraId="0A9279B9" w14:textId="77777777" w:rsidR="00D122E9" w:rsidRPr="007C0D68" w:rsidRDefault="00D122E9" w:rsidP="00CF1A7E">
            <w:pPr>
              <w:spacing w:line="280" w:lineRule="atLeast"/>
              <w:rPr>
                <w:rFonts w:ascii="Verdana" w:hAnsi="Verdana" w:cs="Times New Roman"/>
                <w:sz w:val="20"/>
                <w:szCs w:val="20"/>
              </w:rPr>
            </w:pPr>
            <w:r w:rsidRPr="007C0D68">
              <w:rPr>
                <w:rFonts w:ascii="Verdana" w:hAnsi="Verdana" w:cs="Times New Roman"/>
                <w:sz w:val="20"/>
                <w:szCs w:val="20"/>
              </w:rPr>
              <w:t>Verbesserung der zellulären und humoralen Immunabwehr Neugeborener</w:t>
            </w:r>
          </w:p>
        </w:tc>
        <w:tc>
          <w:tcPr>
            <w:tcW w:w="3827" w:type="dxa"/>
          </w:tcPr>
          <w:p w14:paraId="30546189" w14:textId="77777777" w:rsidR="00D122E9" w:rsidRPr="007C0D68" w:rsidRDefault="00D122E9" w:rsidP="00CF1A7E">
            <w:pPr>
              <w:spacing w:line="280" w:lineRule="atLeast"/>
              <w:rPr>
                <w:rFonts w:ascii="Verdana" w:hAnsi="Verdana" w:cs="Times New Roman"/>
                <w:sz w:val="20"/>
                <w:szCs w:val="20"/>
              </w:rPr>
            </w:pPr>
            <w:r w:rsidRPr="007C0D68">
              <w:rPr>
                <w:rFonts w:ascii="Verdana" w:hAnsi="Verdana" w:cs="Times New Roman"/>
                <w:sz w:val="20"/>
                <w:szCs w:val="20"/>
              </w:rPr>
              <w:t>stärkt das Immunsystem</w:t>
            </w:r>
            <w:r w:rsidRPr="007C0D68">
              <w:rPr>
                <w:rFonts w:ascii="Verdana" w:hAnsi="Verdana" w:cs="Times New Roman"/>
                <w:sz w:val="20"/>
                <w:szCs w:val="20"/>
                <w:vertAlign w:val="superscript"/>
              </w:rPr>
              <w:t>8, 9</w:t>
            </w:r>
          </w:p>
        </w:tc>
      </w:tr>
      <w:tr w:rsidR="00D122E9" w:rsidRPr="007C0D68" w14:paraId="70A3C8D4" w14:textId="77777777" w:rsidTr="00CF1A7E">
        <w:tc>
          <w:tcPr>
            <w:tcW w:w="4119" w:type="dxa"/>
          </w:tcPr>
          <w:p w14:paraId="04379E80" w14:textId="77777777" w:rsidR="00D122E9" w:rsidRPr="007C0D68" w:rsidRDefault="00D122E9" w:rsidP="00CF1A7E">
            <w:pPr>
              <w:spacing w:line="280" w:lineRule="atLeast"/>
              <w:rPr>
                <w:rFonts w:ascii="Verdana" w:hAnsi="Verdana" w:cs="Times New Roman"/>
                <w:sz w:val="20"/>
                <w:szCs w:val="20"/>
              </w:rPr>
            </w:pPr>
            <w:r w:rsidRPr="007C0D68">
              <w:rPr>
                <w:rFonts w:ascii="Verdana" w:hAnsi="Verdana" w:cs="Times New Roman"/>
                <w:sz w:val="20"/>
                <w:szCs w:val="20"/>
              </w:rPr>
              <w:t xml:space="preserve">Hemmung von IL-5, IL-6, IFN-γ und TNFα-Wirkung auf IL-8 IL-10-Induktion </w:t>
            </w:r>
            <w:r w:rsidRPr="007C0D68">
              <w:rPr>
                <w:rFonts w:ascii="Verdana" w:hAnsi="Verdana" w:cs="Times New Roman"/>
                <w:sz w:val="20"/>
                <w:szCs w:val="20"/>
              </w:rPr>
              <w:br/>
              <w:t>Defensin-, Calprotectin-Induktion</w:t>
            </w:r>
          </w:p>
        </w:tc>
        <w:tc>
          <w:tcPr>
            <w:tcW w:w="3827" w:type="dxa"/>
          </w:tcPr>
          <w:p w14:paraId="64C83B9C" w14:textId="77777777" w:rsidR="00D122E9" w:rsidRPr="007C0D68" w:rsidRDefault="00D122E9" w:rsidP="00CF1A7E">
            <w:pPr>
              <w:spacing w:line="280" w:lineRule="atLeast"/>
              <w:rPr>
                <w:rFonts w:ascii="Verdana" w:hAnsi="Verdana" w:cs="Times New Roman"/>
                <w:sz w:val="20"/>
                <w:szCs w:val="20"/>
              </w:rPr>
            </w:pPr>
            <w:r w:rsidRPr="007C0D68">
              <w:rPr>
                <w:rFonts w:ascii="Verdana" w:hAnsi="Verdana" w:cs="Times New Roman"/>
                <w:sz w:val="20"/>
                <w:szCs w:val="20"/>
              </w:rPr>
              <w:t>wirkt bei Darmentzündungen</w:t>
            </w:r>
            <w:r w:rsidRPr="007C0D68">
              <w:rPr>
                <w:rFonts w:ascii="Verdana" w:hAnsi="Verdana" w:cs="Times New Roman"/>
                <w:sz w:val="20"/>
                <w:szCs w:val="20"/>
                <w:vertAlign w:val="superscript"/>
              </w:rPr>
              <w:t>10–12</w:t>
            </w:r>
          </w:p>
        </w:tc>
      </w:tr>
    </w:tbl>
    <w:p w14:paraId="565C6234" w14:textId="77777777" w:rsidR="00D122E9" w:rsidRPr="007C0D68" w:rsidRDefault="00D122E9" w:rsidP="00D122E9">
      <w:pPr>
        <w:spacing w:line="280" w:lineRule="atLeast"/>
        <w:rPr>
          <w:rFonts w:ascii="Verdana" w:hAnsi="Verdana" w:cs="Times New Roman"/>
          <w:b/>
          <w:sz w:val="20"/>
          <w:szCs w:val="20"/>
        </w:rPr>
      </w:pPr>
    </w:p>
    <w:p w14:paraId="31304207" w14:textId="45D9334F" w:rsidR="00D122E9" w:rsidRPr="007C0D68" w:rsidRDefault="00D122E9" w:rsidP="00D122E9">
      <w:pPr>
        <w:spacing w:after="0" w:line="280" w:lineRule="atLeast"/>
        <w:rPr>
          <w:rFonts w:ascii="Verdana" w:hAnsi="Verdana" w:cs="Times New Roman"/>
          <w:b/>
          <w:sz w:val="20"/>
          <w:szCs w:val="20"/>
        </w:rPr>
      </w:pPr>
      <w:r w:rsidRPr="007C0D68">
        <w:rPr>
          <w:rFonts w:ascii="Verdana" w:hAnsi="Verdana" w:cs="Times New Roman"/>
          <w:b/>
          <w:sz w:val="20"/>
          <w:szCs w:val="20"/>
        </w:rPr>
        <w:t xml:space="preserve">Nutritive Unterstützung der </w:t>
      </w:r>
      <w:proofErr w:type="spellStart"/>
      <w:r w:rsidRPr="007C0D68">
        <w:rPr>
          <w:rFonts w:ascii="Verdana" w:hAnsi="Verdana" w:cs="Times New Roman"/>
          <w:b/>
          <w:sz w:val="20"/>
          <w:szCs w:val="20"/>
        </w:rPr>
        <w:t>Darmmu</w:t>
      </w:r>
      <w:r w:rsidR="00A44FD4" w:rsidRPr="007C0D68">
        <w:rPr>
          <w:rFonts w:ascii="Verdana" w:hAnsi="Verdana" w:cs="Times New Roman"/>
          <w:b/>
          <w:sz w:val="20"/>
          <w:szCs w:val="20"/>
        </w:rPr>
        <w:t>kosa</w:t>
      </w:r>
      <w:proofErr w:type="spellEnd"/>
    </w:p>
    <w:p w14:paraId="2361D7EB" w14:textId="2EEB9E83" w:rsidR="00D122E9" w:rsidRPr="007C0D68" w:rsidRDefault="00D122E9" w:rsidP="00D122E9">
      <w:pPr>
        <w:spacing w:line="280" w:lineRule="atLeast"/>
        <w:rPr>
          <w:rFonts w:ascii="Verdana" w:hAnsi="Verdana" w:cs="Times New Roman"/>
          <w:sz w:val="20"/>
          <w:szCs w:val="20"/>
        </w:rPr>
      </w:pPr>
      <w:r w:rsidRPr="007C0D68">
        <w:rPr>
          <w:rFonts w:ascii="Verdana" w:hAnsi="Verdana" w:cs="Times New Roman"/>
          <w:sz w:val="20"/>
          <w:szCs w:val="20"/>
        </w:rPr>
        <w:t xml:space="preserve">EcN bildet in erhöhtem Maße kurzkettige Fettsäuren aus Ballaststoffen (überwiegend Essigsäure, aber auch Ameisen-, Propion- und Buttersäure). Diese kurzkettigen Fettsäuren </w:t>
      </w:r>
      <w:r w:rsidR="007C1F8B" w:rsidRPr="007C0D68">
        <w:rPr>
          <w:rFonts w:ascii="Verdana" w:hAnsi="Verdana" w:cs="Times New Roman"/>
          <w:sz w:val="20"/>
          <w:szCs w:val="20"/>
        </w:rPr>
        <w:t xml:space="preserve">fördern die Durchblutung der Schleimhaut und </w:t>
      </w:r>
      <w:r w:rsidRPr="007C0D68">
        <w:rPr>
          <w:rFonts w:ascii="Verdana" w:hAnsi="Verdana" w:cs="Times New Roman"/>
          <w:sz w:val="20"/>
          <w:szCs w:val="20"/>
        </w:rPr>
        <w:t>regen die Ringmuskulatur des Dickdarms an, was die Darmmotilität stimuliert.</w:t>
      </w:r>
      <w:r w:rsidRPr="007C0D68">
        <w:rPr>
          <w:rFonts w:ascii="Verdana" w:hAnsi="Verdana" w:cs="Times New Roman"/>
          <w:sz w:val="20"/>
          <w:szCs w:val="20"/>
          <w:vertAlign w:val="superscript"/>
        </w:rPr>
        <w:t>1</w:t>
      </w:r>
      <w:r w:rsidRPr="007C0D68">
        <w:rPr>
          <w:rFonts w:ascii="Verdana" w:hAnsi="Verdana" w:cs="Times New Roman"/>
          <w:sz w:val="20"/>
          <w:szCs w:val="20"/>
        </w:rPr>
        <w:t xml:space="preserve"> Die Wirksamkeit von EcN u. a. bei chronischer Obstipation scheint darauf zu beruhen. Darüber hinaus sind die bakteriellen Abbauprodukte, insbesondere die Buttersäure, sehr energiereich und für den Stoffwechsel der Dickdarmschleimhaut unentbehrlich.</w:t>
      </w:r>
    </w:p>
    <w:p w14:paraId="752EAA58" w14:textId="77777777" w:rsidR="00FA5571" w:rsidRDefault="00FA5571">
      <w:pPr>
        <w:spacing w:after="0" w:line="240" w:lineRule="auto"/>
        <w:rPr>
          <w:rFonts w:ascii="Verdana" w:hAnsi="Verdana" w:cs="Times New Roman"/>
          <w:b/>
          <w:sz w:val="20"/>
          <w:szCs w:val="20"/>
        </w:rPr>
      </w:pPr>
      <w:r>
        <w:rPr>
          <w:rFonts w:ascii="Verdana" w:hAnsi="Verdana" w:cs="Times New Roman"/>
          <w:b/>
          <w:sz w:val="20"/>
          <w:szCs w:val="20"/>
        </w:rPr>
        <w:br w:type="page"/>
      </w:r>
    </w:p>
    <w:p w14:paraId="7BA50FE2" w14:textId="76780397" w:rsidR="00D122E9" w:rsidRPr="007C0D68" w:rsidRDefault="00D122E9" w:rsidP="00D122E9">
      <w:pPr>
        <w:spacing w:after="0" w:line="280" w:lineRule="atLeast"/>
        <w:rPr>
          <w:rFonts w:ascii="Verdana" w:hAnsi="Verdana" w:cs="Times New Roman"/>
          <w:b/>
          <w:sz w:val="20"/>
          <w:szCs w:val="20"/>
        </w:rPr>
      </w:pPr>
      <w:r w:rsidRPr="007C0D68">
        <w:rPr>
          <w:rFonts w:ascii="Verdana" w:hAnsi="Verdana" w:cs="Times New Roman"/>
          <w:b/>
          <w:sz w:val="20"/>
          <w:szCs w:val="20"/>
        </w:rPr>
        <w:lastRenderedPageBreak/>
        <w:t>Antagonismus, Besiedlung und Stabilisierung der Darmbarriere</w:t>
      </w:r>
    </w:p>
    <w:p w14:paraId="065F562E" w14:textId="77777777" w:rsidR="00D122E9" w:rsidRPr="007C0D68" w:rsidRDefault="00D122E9" w:rsidP="00D122E9">
      <w:pPr>
        <w:spacing w:line="280" w:lineRule="atLeast"/>
        <w:rPr>
          <w:rFonts w:ascii="Verdana" w:hAnsi="Verdana" w:cs="Times New Roman"/>
          <w:sz w:val="20"/>
          <w:szCs w:val="20"/>
        </w:rPr>
      </w:pPr>
      <w:r w:rsidRPr="007C0D68">
        <w:rPr>
          <w:rFonts w:ascii="Verdana" w:hAnsi="Verdana" w:cs="Times New Roman"/>
          <w:sz w:val="20"/>
          <w:szCs w:val="20"/>
        </w:rPr>
        <w:t>Eine Schädigung der Darmbarriere mit erhöhter Permeabilität (Leaky Gut) kann sowohl Ursache als auch Folge von bakteriellen oder parasitären Infektionen sein. Weitere Ursachen für eine erhöhte Darmpermeabilität sind häufig Antibiotika, ASS, Alkohol und Koffein. EcN wirkt schützend und unterstützt die Wiederherstellung der Barrierefunktion (Abb. 3).</w:t>
      </w:r>
    </w:p>
    <w:p w14:paraId="1279C69B" w14:textId="77777777" w:rsidR="00D122E9" w:rsidRPr="007C0D68" w:rsidRDefault="00D122E9" w:rsidP="00D122E9">
      <w:pPr>
        <w:spacing w:line="280" w:lineRule="atLeast"/>
        <w:rPr>
          <w:rFonts w:ascii="Verdana" w:hAnsi="Verdana" w:cs="Times New Roman"/>
          <w:sz w:val="20"/>
          <w:szCs w:val="20"/>
        </w:rPr>
      </w:pPr>
      <w:r w:rsidRPr="007C0D68">
        <w:rPr>
          <w:rFonts w:ascii="Verdana" w:hAnsi="Verdana" w:cs="Times New Roman"/>
          <w:sz w:val="20"/>
          <w:szCs w:val="20"/>
        </w:rPr>
        <w:t>Durch seine Flagellen und Fimbrien kann sich EcN effektiv an der menschlichen Darmschleimhaut anlagern</w:t>
      </w:r>
      <w:r w:rsidRPr="007C0D68">
        <w:rPr>
          <w:rFonts w:ascii="Verdana" w:hAnsi="Verdana" w:cs="Times New Roman"/>
          <w:sz w:val="20"/>
          <w:szCs w:val="20"/>
          <w:vertAlign w:val="superscript"/>
        </w:rPr>
        <w:t xml:space="preserve"> </w:t>
      </w:r>
      <w:r w:rsidRPr="007C0D68">
        <w:rPr>
          <w:rFonts w:ascii="Verdana" w:hAnsi="Verdana" w:cs="Times New Roman"/>
          <w:sz w:val="20"/>
          <w:szCs w:val="20"/>
        </w:rPr>
        <w:t>und dort einen stabilen Biofilm ausbilden.</w:t>
      </w:r>
      <w:r w:rsidRPr="007C0D68">
        <w:rPr>
          <w:rFonts w:ascii="Verdana" w:hAnsi="Verdana" w:cs="Times New Roman"/>
          <w:sz w:val="20"/>
          <w:szCs w:val="20"/>
          <w:vertAlign w:val="superscript"/>
        </w:rPr>
        <w:t>13</w:t>
      </w:r>
      <w:r w:rsidRPr="007C0D68">
        <w:rPr>
          <w:rFonts w:ascii="Verdana" w:hAnsi="Verdana" w:cs="Times New Roman"/>
          <w:sz w:val="20"/>
          <w:szCs w:val="20"/>
        </w:rPr>
        <w:t xml:space="preserve"> Pathogene können sich kaum noch anheften und werden zudem durch sezernierte Mikrocine angegriffen.</w:t>
      </w:r>
      <w:r w:rsidRPr="007C0D68">
        <w:rPr>
          <w:rFonts w:ascii="Verdana" w:hAnsi="Verdana" w:cs="Times New Roman"/>
          <w:sz w:val="20"/>
          <w:szCs w:val="20"/>
          <w:vertAlign w:val="superscript"/>
        </w:rPr>
        <w:t>14</w:t>
      </w:r>
      <w:r w:rsidRPr="007C0D68">
        <w:rPr>
          <w:rFonts w:ascii="Verdana" w:hAnsi="Verdana" w:cs="Times New Roman"/>
          <w:sz w:val="20"/>
          <w:szCs w:val="20"/>
        </w:rPr>
        <w:t xml:space="preserve"> EcN wirkt somit antagonistisch gegen pathogene Mikroorganismen.</w:t>
      </w:r>
      <w:r w:rsidRPr="007C0D68">
        <w:rPr>
          <w:rFonts w:ascii="Verdana" w:hAnsi="Verdana" w:cs="Times New Roman"/>
          <w:sz w:val="20"/>
          <w:szCs w:val="20"/>
          <w:vertAlign w:val="superscript"/>
        </w:rPr>
        <w:t>15–18</w:t>
      </w:r>
      <w:r w:rsidRPr="007C0D68">
        <w:rPr>
          <w:rFonts w:ascii="Verdana" w:hAnsi="Verdana" w:cs="Times New Roman"/>
          <w:sz w:val="20"/>
          <w:szCs w:val="20"/>
        </w:rPr>
        <w:t xml:space="preserve"> Das Bakterium schützt beispielsweise vor darmpathogenen Keimen wie EHEC</w:t>
      </w:r>
      <w:r w:rsidRPr="007C0D68">
        <w:rPr>
          <w:rFonts w:ascii="Verdana" w:hAnsi="Verdana" w:cs="Times New Roman"/>
          <w:sz w:val="20"/>
          <w:szCs w:val="20"/>
          <w:vertAlign w:val="superscript"/>
        </w:rPr>
        <w:t>19–21</w:t>
      </w:r>
      <w:r w:rsidRPr="007C0D68">
        <w:rPr>
          <w:rFonts w:ascii="Verdana" w:hAnsi="Verdana" w:cs="Times New Roman"/>
          <w:sz w:val="20"/>
          <w:szCs w:val="20"/>
        </w:rPr>
        <w:t xml:space="preserve"> und vor den möglichen Folgen einer vorausgegangenen Darminfektion (postinfektiöses Reizdarm-Syndrom).</w:t>
      </w:r>
      <w:r w:rsidRPr="007C0D68">
        <w:rPr>
          <w:rFonts w:ascii="Verdana" w:hAnsi="Verdana" w:cs="Times New Roman"/>
          <w:sz w:val="20"/>
          <w:szCs w:val="20"/>
          <w:vertAlign w:val="superscript"/>
        </w:rPr>
        <w:t>22</w:t>
      </w:r>
      <w:r w:rsidRPr="007C0D68">
        <w:rPr>
          <w:rFonts w:ascii="Verdana" w:hAnsi="Verdana" w:cs="Times New Roman"/>
          <w:sz w:val="20"/>
          <w:szCs w:val="20"/>
        </w:rPr>
        <w:t xml:space="preserve"> Durch eine Förderung der </w:t>
      </w:r>
      <w:proofErr w:type="spellStart"/>
      <w:r w:rsidRPr="007C0D68">
        <w:rPr>
          <w:rFonts w:ascii="Verdana" w:hAnsi="Verdana" w:cs="Times New Roman"/>
          <w:sz w:val="20"/>
          <w:szCs w:val="20"/>
        </w:rPr>
        <w:t>Mucin</w:t>
      </w:r>
      <w:proofErr w:type="spellEnd"/>
      <w:r w:rsidRPr="007C0D68">
        <w:rPr>
          <w:rFonts w:ascii="Verdana" w:hAnsi="Verdana" w:cs="Times New Roman"/>
          <w:sz w:val="20"/>
          <w:szCs w:val="20"/>
        </w:rPr>
        <w:t>-Produktion wird die Undurchlässigkeit gegenüber Pathogenen und Allergenen zusätzlich gestärkt.</w:t>
      </w:r>
    </w:p>
    <w:p w14:paraId="64C4DC02" w14:textId="77777777" w:rsidR="00D122E9" w:rsidRPr="007C0D68" w:rsidRDefault="00D122E9" w:rsidP="00D122E9">
      <w:pPr>
        <w:spacing w:line="280" w:lineRule="atLeast"/>
        <w:rPr>
          <w:rFonts w:ascii="Verdana" w:hAnsi="Verdana" w:cs="Times New Roman"/>
          <w:sz w:val="20"/>
          <w:szCs w:val="20"/>
        </w:rPr>
      </w:pPr>
      <w:r w:rsidRPr="007C0D68">
        <w:rPr>
          <w:rFonts w:ascii="Verdana" w:hAnsi="Verdana" w:cs="Times New Roman"/>
          <w:sz w:val="20"/>
          <w:szCs w:val="20"/>
        </w:rPr>
        <w:t>Darüber hinaus ist EcN in der Lage, die für den Zusammenhalt des Darmepithelzellverbands verantwortlichen Tight Junctions zu festigen – etwa nach Schädigung durch invasive Erreger. Gegenüber enteropathogenen E. coli-Bakterien entfaltet EcN somit sowohl eine kurative als auch eine prophylaktische Wirkung.</w:t>
      </w:r>
      <w:r w:rsidRPr="007C0D68">
        <w:rPr>
          <w:rFonts w:ascii="Verdana" w:hAnsi="Verdana" w:cs="Times New Roman"/>
          <w:sz w:val="20"/>
          <w:szCs w:val="20"/>
          <w:vertAlign w:val="superscript"/>
        </w:rPr>
        <w:t xml:space="preserve">4 </w:t>
      </w:r>
      <w:proofErr w:type="spellStart"/>
      <w:r w:rsidRPr="007C0D68">
        <w:rPr>
          <w:rFonts w:ascii="Verdana" w:hAnsi="Verdana" w:cs="Times New Roman"/>
          <w:sz w:val="20"/>
          <w:szCs w:val="20"/>
        </w:rPr>
        <w:t>Zustande</w:t>
      </w:r>
      <w:proofErr w:type="spellEnd"/>
      <w:r w:rsidRPr="007C0D68">
        <w:rPr>
          <w:rFonts w:ascii="Verdana" w:hAnsi="Verdana" w:cs="Times New Roman"/>
          <w:sz w:val="20"/>
          <w:szCs w:val="20"/>
        </w:rPr>
        <w:t xml:space="preserve"> kommt dies durch eine gesteigerte Expression der Tight Junction-Proteine Zonula occludens 1 und 2 und des Desmosomenproteins Pinin.</w:t>
      </w:r>
      <w:r w:rsidRPr="007C0D68">
        <w:rPr>
          <w:rFonts w:ascii="Verdana" w:hAnsi="Verdana" w:cs="Times New Roman"/>
          <w:sz w:val="20"/>
          <w:szCs w:val="20"/>
          <w:vertAlign w:val="superscript"/>
        </w:rPr>
        <w:t>3, 4, 23</w:t>
      </w:r>
      <w:r w:rsidRPr="007C0D68">
        <w:rPr>
          <w:rFonts w:ascii="Verdana" w:hAnsi="Verdana" w:cs="Times New Roman"/>
          <w:sz w:val="20"/>
          <w:szCs w:val="20"/>
        </w:rPr>
        <w:t xml:space="preserve"> Insgesamt führt der Kontakt der Epithelzellen mit EcN zu einer gesteigerten oder verringerten Expression von über 300 Genen.</w:t>
      </w:r>
      <w:r w:rsidRPr="007C0D68">
        <w:rPr>
          <w:rFonts w:ascii="Verdana" w:hAnsi="Verdana" w:cs="Times New Roman"/>
          <w:sz w:val="20"/>
          <w:szCs w:val="20"/>
          <w:vertAlign w:val="superscript"/>
        </w:rPr>
        <w:t>23</w:t>
      </w:r>
      <w:r w:rsidRPr="007C0D68">
        <w:rPr>
          <w:rFonts w:ascii="Verdana" w:hAnsi="Verdana" w:cs="Times New Roman"/>
          <w:sz w:val="20"/>
          <w:szCs w:val="20"/>
        </w:rPr>
        <w:t xml:space="preserve"> EcN stellt daher einen möglichen vielversprechenden Ansatz bei verschiedenen gastroenterologischen, hepatologischen, aber auch allergologisch-immunologischen Erkrankungen dar, die mit einer erhöhten Durchlässigkeit der Darmschleimhaut einhergehen.</w:t>
      </w:r>
    </w:p>
    <w:p w14:paraId="6F391F4D" w14:textId="77777777" w:rsidR="00D122E9" w:rsidRPr="007C0D68" w:rsidRDefault="00D122E9" w:rsidP="00D122E9">
      <w:pPr>
        <w:spacing w:after="0" w:line="280" w:lineRule="atLeast"/>
        <w:rPr>
          <w:rFonts w:ascii="Verdana" w:hAnsi="Verdana" w:cs="Times New Roman"/>
          <w:b/>
          <w:sz w:val="20"/>
          <w:szCs w:val="20"/>
        </w:rPr>
      </w:pPr>
      <w:r w:rsidRPr="007C0D68">
        <w:rPr>
          <w:rFonts w:ascii="Verdana" w:hAnsi="Verdana" w:cs="Times New Roman"/>
          <w:b/>
          <w:sz w:val="20"/>
          <w:szCs w:val="20"/>
        </w:rPr>
        <w:t>Entzündungshemmung und Stärkung der Immunabwehr</w:t>
      </w:r>
    </w:p>
    <w:p w14:paraId="7D72C05C" w14:textId="77777777" w:rsidR="00D122E9" w:rsidRPr="007C0D68" w:rsidRDefault="00D122E9" w:rsidP="00D122E9">
      <w:pPr>
        <w:spacing w:line="280" w:lineRule="atLeast"/>
        <w:rPr>
          <w:rFonts w:ascii="Verdana" w:hAnsi="Verdana" w:cs="Times New Roman"/>
          <w:sz w:val="20"/>
          <w:szCs w:val="20"/>
        </w:rPr>
      </w:pPr>
      <w:r w:rsidRPr="007C0D68">
        <w:rPr>
          <w:rFonts w:ascii="Verdana" w:hAnsi="Verdana" w:cs="Times New Roman"/>
          <w:sz w:val="20"/>
          <w:szCs w:val="20"/>
        </w:rPr>
        <w:t>EcN hemmt die Bildung und Freisetzung proinflammatorischer Zytokine wie IL-5, IL-6, IFN-γ im Darmepithel. Auch die TNFα-Wirkung auf die Induktion von IL-8 und IL-10 wird verringert.</w:t>
      </w:r>
      <w:r w:rsidRPr="007C0D68">
        <w:rPr>
          <w:rFonts w:ascii="Verdana" w:hAnsi="Verdana" w:cs="Times New Roman"/>
          <w:sz w:val="20"/>
          <w:szCs w:val="20"/>
          <w:vertAlign w:val="superscript"/>
        </w:rPr>
        <w:t>24</w:t>
      </w:r>
      <w:r w:rsidRPr="007C0D68">
        <w:rPr>
          <w:rFonts w:ascii="Verdana" w:hAnsi="Verdana" w:cs="Times New Roman"/>
          <w:sz w:val="20"/>
          <w:szCs w:val="20"/>
        </w:rPr>
        <w:t xml:space="preserve"> Daraus resultiert eine Schutzwirkung gegenüber einer Fehlregulierung von Lymphozyten, von inflammatorischen Prozessen und dem damit verbundenen Auftreten bzw. der Aufrechterhaltung atopischer Erkrankungen.</w:t>
      </w:r>
    </w:p>
    <w:p w14:paraId="364A7F23" w14:textId="77777777" w:rsidR="00D122E9" w:rsidRPr="007C0D68" w:rsidRDefault="00D122E9" w:rsidP="00D122E9">
      <w:pPr>
        <w:spacing w:line="280" w:lineRule="atLeast"/>
        <w:rPr>
          <w:rFonts w:ascii="Verdana" w:hAnsi="Verdana" w:cs="Times New Roman"/>
          <w:sz w:val="20"/>
          <w:szCs w:val="20"/>
        </w:rPr>
      </w:pPr>
      <w:r w:rsidRPr="007C0D68">
        <w:rPr>
          <w:rFonts w:ascii="Verdana" w:hAnsi="Verdana" w:cs="Times New Roman"/>
          <w:sz w:val="20"/>
          <w:szCs w:val="20"/>
        </w:rPr>
        <w:t>Zudem stärkt EcN die unspezifische Immunabwehr durch Hochregulation der Defensin-Bildung im Darmepithel.</w:t>
      </w:r>
      <w:r w:rsidRPr="007C0D68">
        <w:rPr>
          <w:rFonts w:ascii="Verdana" w:hAnsi="Verdana" w:cs="Times New Roman"/>
          <w:sz w:val="20"/>
          <w:szCs w:val="20"/>
          <w:vertAlign w:val="superscript"/>
        </w:rPr>
        <w:t>12</w:t>
      </w:r>
      <w:r w:rsidRPr="007C0D68">
        <w:rPr>
          <w:rFonts w:ascii="Verdana" w:hAnsi="Verdana" w:cs="Times New Roman"/>
          <w:sz w:val="20"/>
          <w:szCs w:val="20"/>
        </w:rPr>
        <w:t xml:space="preserve"> So induziert etwa das Geißel-Strukturprotein Flagellin die Bildung von humanem Beta-Defensin-2 (HBD-2).</w:t>
      </w:r>
      <w:r w:rsidRPr="007C0D68">
        <w:rPr>
          <w:rFonts w:ascii="Verdana" w:hAnsi="Verdana" w:cs="Times New Roman"/>
          <w:sz w:val="20"/>
          <w:szCs w:val="20"/>
          <w:vertAlign w:val="superscript"/>
        </w:rPr>
        <w:t>25</w:t>
      </w:r>
      <w:r w:rsidRPr="007C0D68">
        <w:rPr>
          <w:rFonts w:ascii="Verdana" w:hAnsi="Verdana" w:cs="Times New Roman"/>
          <w:sz w:val="20"/>
          <w:szCs w:val="20"/>
        </w:rPr>
        <w:t xml:space="preserve"> Die antimikrobiell wirksamen Peptide schützen als Bestandteil des unspezifischen Immunsystems vor einer Vielzahl pathogener Keime. Besonders relevant ist die Defensin-Regulation bei gastroenterologischen Erkrankungen, wie chronisch entzündlichen Darmerkrankungen, bei denen die Synthese antimikrobieller Peptide durch die Darmschleimhaut nicht mehr ausreichend funktioniert.</w:t>
      </w:r>
    </w:p>
    <w:p w14:paraId="1F4171BD" w14:textId="77777777" w:rsidR="00FA5571" w:rsidRDefault="00FA5571">
      <w:pPr>
        <w:spacing w:after="0" w:line="240" w:lineRule="auto"/>
        <w:rPr>
          <w:rFonts w:ascii="Verdana" w:hAnsi="Verdana" w:cs="Times New Roman"/>
          <w:b/>
          <w:bCs/>
          <w:sz w:val="20"/>
          <w:szCs w:val="20"/>
        </w:rPr>
      </w:pPr>
      <w:r>
        <w:rPr>
          <w:rFonts w:ascii="Verdana" w:hAnsi="Verdana" w:cs="Times New Roman"/>
          <w:b/>
          <w:bCs/>
          <w:sz w:val="20"/>
          <w:szCs w:val="20"/>
        </w:rPr>
        <w:br w:type="page"/>
      </w:r>
    </w:p>
    <w:p w14:paraId="62FC22FA" w14:textId="1A49E0CA" w:rsidR="00D122E9" w:rsidRPr="007C0D68" w:rsidRDefault="00D122E9" w:rsidP="00D122E9">
      <w:pPr>
        <w:spacing w:after="0" w:line="280" w:lineRule="atLeast"/>
        <w:rPr>
          <w:rFonts w:ascii="Verdana" w:hAnsi="Verdana" w:cs="Times New Roman"/>
          <w:b/>
          <w:bCs/>
          <w:sz w:val="20"/>
          <w:szCs w:val="20"/>
        </w:rPr>
      </w:pPr>
      <w:bookmarkStart w:id="0" w:name="_GoBack"/>
      <w:bookmarkEnd w:id="0"/>
      <w:r w:rsidRPr="007C0D68">
        <w:rPr>
          <w:rFonts w:ascii="Verdana" w:hAnsi="Verdana" w:cs="Times New Roman"/>
          <w:b/>
          <w:bCs/>
          <w:sz w:val="20"/>
          <w:szCs w:val="20"/>
        </w:rPr>
        <w:lastRenderedPageBreak/>
        <w:t>Hohe Sicherheit und Verträglichkeit</w:t>
      </w:r>
    </w:p>
    <w:p w14:paraId="7DD6B2AC" w14:textId="77777777" w:rsidR="00D122E9" w:rsidRPr="007C0D68" w:rsidRDefault="00D122E9" w:rsidP="00D122E9">
      <w:pPr>
        <w:spacing w:line="280" w:lineRule="atLeast"/>
        <w:rPr>
          <w:rFonts w:ascii="Verdana" w:hAnsi="Verdana" w:cs="Times New Roman"/>
          <w:sz w:val="20"/>
          <w:szCs w:val="20"/>
        </w:rPr>
      </w:pPr>
      <w:r w:rsidRPr="007C0D68">
        <w:rPr>
          <w:rFonts w:ascii="Verdana" w:hAnsi="Verdana" w:cs="Times New Roman"/>
          <w:sz w:val="20"/>
          <w:szCs w:val="20"/>
        </w:rPr>
        <w:t>EcN (Mutaflor</w:t>
      </w:r>
      <w:r w:rsidRPr="007C0D68">
        <w:rPr>
          <w:rFonts w:ascii="Verdana" w:hAnsi="Verdana" w:cs="Times New Roman"/>
          <w:bCs/>
          <w:sz w:val="20"/>
          <w:szCs w:val="20"/>
          <w:vertAlign w:val="superscript"/>
        </w:rPr>
        <w:t>®</w:t>
      </w:r>
      <w:r w:rsidRPr="007C0D68">
        <w:rPr>
          <w:rFonts w:ascii="Verdana" w:hAnsi="Verdana" w:cs="Times New Roman"/>
          <w:sz w:val="20"/>
          <w:szCs w:val="20"/>
        </w:rPr>
        <w:t xml:space="preserve">) erfüllt alle heutigen Sicherheitsanforderungen an mikrobielle Arzneimittel umfassend und kann deshalb auch in hoher Dosierung Patienten </w:t>
      </w:r>
      <w:r w:rsidRPr="007C0D68">
        <w:rPr>
          <w:rFonts w:ascii="Verdana" w:hAnsi="Verdana" w:cs="Times New Roman"/>
          <w:sz w:val="20"/>
          <w:szCs w:val="20"/>
        </w:rPr>
        <w:br/>
        <w:t xml:space="preserve">aller Altersklassen sowie Schwangeren und Stillenden verabreicht werden. </w:t>
      </w:r>
      <w:r w:rsidRPr="007C0D68">
        <w:rPr>
          <w:rFonts w:ascii="Verdana" w:hAnsi="Verdana" w:cs="Times New Roman"/>
          <w:sz w:val="20"/>
          <w:szCs w:val="20"/>
        </w:rPr>
        <w:br/>
        <w:t>Die umfangreichen Forschungsergebnisse belegen, dass EcN keine der für E. coli bekannten Pathogenitätsfaktoren besitzt.</w:t>
      </w:r>
    </w:p>
    <w:p w14:paraId="57E492F1" w14:textId="01878BB7" w:rsidR="00D122E9" w:rsidRPr="007C0D68" w:rsidRDefault="00D122E9" w:rsidP="00D122E9">
      <w:pPr>
        <w:spacing w:line="280" w:lineRule="atLeast"/>
        <w:rPr>
          <w:rFonts w:ascii="Verdana" w:hAnsi="Verdana" w:cs="Times New Roman"/>
          <w:sz w:val="20"/>
          <w:szCs w:val="20"/>
        </w:rPr>
      </w:pPr>
      <w:r w:rsidRPr="007C0D68">
        <w:rPr>
          <w:rFonts w:ascii="Verdana" w:hAnsi="Verdana" w:cs="Times New Roman"/>
          <w:sz w:val="20"/>
          <w:szCs w:val="20"/>
        </w:rPr>
        <w:t>Der Stamm wurde von der Zentralen Kommission für Biologische Sicherheit (ZKBS) in die Risikogruppe 1 (unbedenkliche Mikroorganismen) eingestuft. Heute besonders wichtig: EcN besitzt keine Antibiotika-Resistenz-Plasmide, ist genetisch stabil und ein schlechter Rezipient für Fremd-DNA in Form von Antibiotika-Resistenz- und anderen Plasmiden.</w:t>
      </w:r>
    </w:p>
    <w:p w14:paraId="76E5FE77" w14:textId="3232BFAA" w:rsidR="00D122E9" w:rsidRPr="007C0D68" w:rsidRDefault="00D122E9" w:rsidP="00D122E9">
      <w:pPr>
        <w:spacing w:line="280" w:lineRule="atLeast"/>
        <w:rPr>
          <w:rFonts w:ascii="Verdana" w:hAnsi="Verdana" w:cs="Times New Roman"/>
          <w:b/>
          <w:sz w:val="20"/>
          <w:szCs w:val="20"/>
        </w:rPr>
      </w:pPr>
      <w:r w:rsidRPr="007C0D68">
        <w:rPr>
          <w:rFonts w:ascii="Verdana" w:hAnsi="Verdana" w:cs="Times New Roman"/>
          <w:b/>
          <w:sz w:val="20"/>
          <w:szCs w:val="20"/>
        </w:rPr>
        <w:t>Abbildungen:</w:t>
      </w:r>
      <w:r w:rsidR="007C0D68" w:rsidRPr="007C0D68">
        <w:rPr>
          <w:rFonts w:ascii="Verdana" w:hAnsi="Verdana" w:cs="Times New Roman"/>
          <w:noProof/>
          <w:sz w:val="20"/>
          <w:szCs w:val="20"/>
          <w:lang w:eastAsia="de-DE"/>
        </w:rPr>
        <w:t xml:space="preserve"> </w:t>
      </w:r>
    </w:p>
    <w:p w14:paraId="31DF1568" w14:textId="5FEFB1CD" w:rsidR="007F32B5" w:rsidRPr="007C0D68" w:rsidRDefault="007C0D68" w:rsidP="00D122E9">
      <w:pPr>
        <w:spacing w:line="280" w:lineRule="atLeast"/>
        <w:rPr>
          <w:rFonts w:ascii="Verdana" w:hAnsi="Verdana" w:cs="Times New Roman"/>
          <w:sz w:val="20"/>
          <w:szCs w:val="20"/>
        </w:rPr>
      </w:pPr>
      <w:r w:rsidRPr="007C0D68">
        <w:rPr>
          <w:rFonts w:ascii="Verdana" w:hAnsi="Verdana" w:cs="Times New Roman"/>
          <w:noProof/>
          <w:sz w:val="20"/>
          <w:szCs w:val="20"/>
          <w:lang w:eastAsia="de-DE"/>
        </w:rPr>
        <w:drawing>
          <wp:anchor distT="0" distB="0" distL="114300" distR="114300" simplePos="0" relativeHeight="251659264" behindDoc="0" locked="0" layoutInCell="1" allowOverlap="1" wp14:anchorId="7E339D65" wp14:editId="20FE5092">
            <wp:simplePos x="0" y="0"/>
            <wp:positionH relativeFrom="column">
              <wp:posOffset>-843</wp:posOffset>
            </wp:positionH>
            <wp:positionV relativeFrom="paragraph">
              <wp:posOffset>17957</wp:posOffset>
            </wp:positionV>
            <wp:extent cx="4331543" cy="2648681"/>
            <wp:effectExtent l="0" t="0" r="12065"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49652" cy="2659754"/>
                    </a:xfrm>
                    <a:prstGeom prst="rect">
                      <a:avLst/>
                    </a:prstGeom>
                  </pic:spPr>
                </pic:pic>
              </a:graphicData>
            </a:graphic>
            <wp14:sizeRelH relativeFrom="page">
              <wp14:pctWidth>0</wp14:pctWidth>
            </wp14:sizeRelH>
            <wp14:sizeRelV relativeFrom="page">
              <wp14:pctHeight>0</wp14:pctHeight>
            </wp14:sizeRelV>
          </wp:anchor>
        </w:drawing>
      </w:r>
    </w:p>
    <w:p w14:paraId="62F1CCEC" w14:textId="77777777" w:rsidR="007C0D68" w:rsidRDefault="007C0D68" w:rsidP="00D122E9">
      <w:pPr>
        <w:spacing w:line="280" w:lineRule="atLeast"/>
        <w:rPr>
          <w:rFonts w:ascii="Verdana" w:hAnsi="Verdana" w:cs="Times New Roman"/>
          <w:b/>
          <w:sz w:val="20"/>
          <w:szCs w:val="20"/>
        </w:rPr>
      </w:pPr>
    </w:p>
    <w:p w14:paraId="714F640E" w14:textId="77777777" w:rsidR="007C0D68" w:rsidRDefault="007C0D68" w:rsidP="00D122E9">
      <w:pPr>
        <w:spacing w:line="280" w:lineRule="atLeast"/>
        <w:rPr>
          <w:rFonts w:ascii="Verdana" w:hAnsi="Verdana" w:cs="Times New Roman"/>
          <w:b/>
          <w:sz w:val="20"/>
          <w:szCs w:val="20"/>
        </w:rPr>
      </w:pPr>
    </w:p>
    <w:p w14:paraId="0DBE63A0" w14:textId="77777777" w:rsidR="007C0D68" w:rsidRDefault="007C0D68" w:rsidP="00D122E9">
      <w:pPr>
        <w:spacing w:line="280" w:lineRule="atLeast"/>
        <w:rPr>
          <w:rFonts w:ascii="Verdana" w:hAnsi="Verdana" w:cs="Times New Roman"/>
          <w:b/>
          <w:sz w:val="20"/>
          <w:szCs w:val="20"/>
        </w:rPr>
      </w:pPr>
    </w:p>
    <w:p w14:paraId="2BD4501F" w14:textId="77777777" w:rsidR="007C0D68" w:rsidRDefault="007C0D68" w:rsidP="00D122E9">
      <w:pPr>
        <w:spacing w:line="280" w:lineRule="atLeast"/>
        <w:rPr>
          <w:rFonts w:ascii="Verdana" w:hAnsi="Verdana" w:cs="Times New Roman"/>
          <w:b/>
          <w:sz w:val="20"/>
          <w:szCs w:val="20"/>
        </w:rPr>
      </w:pPr>
    </w:p>
    <w:p w14:paraId="0B128B82" w14:textId="77777777" w:rsidR="007C0D68" w:rsidRDefault="007C0D68" w:rsidP="00D122E9">
      <w:pPr>
        <w:spacing w:line="280" w:lineRule="atLeast"/>
        <w:rPr>
          <w:rFonts w:ascii="Verdana" w:hAnsi="Verdana" w:cs="Times New Roman"/>
          <w:b/>
          <w:sz w:val="20"/>
          <w:szCs w:val="20"/>
        </w:rPr>
      </w:pPr>
    </w:p>
    <w:p w14:paraId="617EB053" w14:textId="77777777" w:rsidR="007C0D68" w:rsidRDefault="007C0D68" w:rsidP="00D122E9">
      <w:pPr>
        <w:spacing w:line="280" w:lineRule="atLeast"/>
        <w:rPr>
          <w:rFonts w:ascii="Verdana" w:hAnsi="Verdana" w:cs="Times New Roman"/>
          <w:b/>
          <w:sz w:val="20"/>
          <w:szCs w:val="20"/>
        </w:rPr>
      </w:pPr>
    </w:p>
    <w:p w14:paraId="543F3F89" w14:textId="77777777" w:rsidR="007C0D68" w:rsidRDefault="007C0D68" w:rsidP="00D122E9">
      <w:pPr>
        <w:spacing w:line="280" w:lineRule="atLeast"/>
        <w:rPr>
          <w:rFonts w:ascii="Verdana" w:hAnsi="Verdana" w:cs="Times New Roman"/>
          <w:b/>
          <w:sz w:val="20"/>
          <w:szCs w:val="20"/>
        </w:rPr>
      </w:pPr>
    </w:p>
    <w:p w14:paraId="71B4A965" w14:textId="77777777" w:rsidR="007C0D68" w:rsidRDefault="007C0D68" w:rsidP="00D122E9">
      <w:pPr>
        <w:spacing w:line="280" w:lineRule="atLeast"/>
        <w:rPr>
          <w:rFonts w:ascii="Verdana" w:hAnsi="Verdana" w:cs="Times New Roman"/>
          <w:b/>
          <w:sz w:val="20"/>
          <w:szCs w:val="20"/>
        </w:rPr>
      </w:pPr>
    </w:p>
    <w:p w14:paraId="305456BB" w14:textId="564507DA" w:rsidR="00D122E9" w:rsidRPr="007C0D68" w:rsidRDefault="00D122E9" w:rsidP="00D122E9">
      <w:pPr>
        <w:spacing w:line="280" w:lineRule="atLeast"/>
        <w:rPr>
          <w:rFonts w:ascii="Verdana" w:hAnsi="Verdana" w:cs="Times New Roman"/>
          <w:sz w:val="20"/>
          <w:szCs w:val="20"/>
        </w:rPr>
      </w:pPr>
      <w:r w:rsidRPr="007C0D68">
        <w:rPr>
          <w:rFonts w:ascii="Verdana" w:hAnsi="Verdana" w:cs="Times New Roman"/>
          <w:b/>
          <w:sz w:val="20"/>
          <w:szCs w:val="20"/>
        </w:rPr>
        <w:t>Abb. 1:</w:t>
      </w:r>
      <w:r w:rsidRPr="007C0D68">
        <w:rPr>
          <w:rFonts w:ascii="Verdana" w:hAnsi="Verdana" w:cs="Times New Roman"/>
          <w:sz w:val="20"/>
          <w:szCs w:val="20"/>
        </w:rPr>
        <w:t xml:space="preserve"> Übersicht phänotypischer Charakteristika von EcN und ihre Genloci auf dem Bakterienchromosom</w:t>
      </w:r>
    </w:p>
    <w:p w14:paraId="2E900A98" w14:textId="4F4D57A5" w:rsidR="00D122E9" w:rsidRPr="007C0D68" w:rsidRDefault="00491648" w:rsidP="00D122E9">
      <w:pPr>
        <w:spacing w:line="280" w:lineRule="atLeast"/>
        <w:rPr>
          <w:rFonts w:ascii="Verdana" w:hAnsi="Verdana" w:cs="Times New Roman"/>
          <w:sz w:val="20"/>
          <w:szCs w:val="20"/>
        </w:rPr>
      </w:pPr>
      <w:r w:rsidRPr="007C0D68">
        <w:rPr>
          <w:rFonts w:ascii="Verdana" w:hAnsi="Verdana" w:cs="Times New Roman"/>
          <w:noProof/>
          <w:sz w:val="20"/>
          <w:szCs w:val="20"/>
          <w:lang w:eastAsia="de-DE"/>
        </w:rPr>
        <w:lastRenderedPageBreak/>
        <w:drawing>
          <wp:inline distT="0" distB="0" distL="0" distR="0" wp14:anchorId="652829E8" wp14:editId="472C7874">
            <wp:extent cx="4344243" cy="2497238"/>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67901" cy="2510837"/>
                    </a:xfrm>
                    <a:prstGeom prst="rect">
                      <a:avLst/>
                    </a:prstGeom>
                  </pic:spPr>
                </pic:pic>
              </a:graphicData>
            </a:graphic>
          </wp:inline>
        </w:drawing>
      </w:r>
      <w:r w:rsidR="00D122E9" w:rsidRPr="007C0D68">
        <w:rPr>
          <w:rFonts w:ascii="Verdana" w:hAnsi="Verdana" w:cs="Times New Roman"/>
          <w:sz w:val="20"/>
          <w:szCs w:val="20"/>
        </w:rPr>
        <w:t xml:space="preserve"> </w:t>
      </w:r>
    </w:p>
    <w:p w14:paraId="66F327B5" w14:textId="4C16E47A" w:rsidR="00D122E9" w:rsidRPr="007C0D68" w:rsidRDefault="00D122E9" w:rsidP="00D122E9">
      <w:pPr>
        <w:spacing w:line="280" w:lineRule="atLeast"/>
        <w:rPr>
          <w:rFonts w:ascii="Verdana" w:hAnsi="Verdana" w:cs="Times New Roman"/>
          <w:sz w:val="20"/>
          <w:szCs w:val="20"/>
          <w:vertAlign w:val="superscript"/>
        </w:rPr>
      </w:pPr>
      <w:r w:rsidRPr="007C0D68">
        <w:rPr>
          <w:rFonts w:ascii="Verdana" w:hAnsi="Verdana" w:cs="Times New Roman"/>
          <w:b/>
          <w:sz w:val="20"/>
          <w:szCs w:val="20"/>
        </w:rPr>
        <w:t xml:space="preserve">Abb. 2: </w:t>
      </w:r>
      <w:r w:rsidRPr="007C0D68">
        <w:rPr>
          <w:rFonts w:ascii="Verdana" w:hAnsi="Verdana" w:cs="Times New Roman"/>
          <w:sz w:val="20"/>
          <w:szCs w:val="20"/>
        </w:rPr>
        <w:t xml:space="preserve">Wirkmechanismen und Interaktionen von EcN im Darm </w:t>
      </w:r>
      <w:r w:rsidRPr="007C0D68">
        <w:rPr>
          <w:rFonts w:ascii="Verdana" w:hAnsi="Verdana" w:cs="Times New Roman"/>
          <w:sz w:val="20"/>
          <w:szCs w:val="20"/>
        </w:rPr>
        <w:br/>
        <w:t xml:space="preserve">(bakterieller Antagonismus) und am Darmepithel </w:t>
      </w:r>
      <w:r w:rsidRPr="007C0D68">
        <w:rPr>
          <w:rFonts w:ascii="Verdana" w:hAnsi="Verdana" w:cs="Times New Roman"/>
          <w:sz w:val="20"/>
          <w:szCs w:val="20"/>
          <w:vertAlign w:val="superscript"/>
        </w:rPr>
        <w:t>26–28</w:t>
      </w:r>
    </w:p>
    <w:p w14:paraId="19473754" w14:textId="0E9C8925" w:rsidR="00D122E9" w:rsidRPr="007C0D68" w:rsidRDefault="00491648" w:rsidP="00D122E9">
      <w:pPr>
        <w:spacing w:line="280" w:lineRule="atLeast"/>
        <w:rPr>
          <w:rFonts w:ascii="Verdana" w:hAnsi="Verdana" w:cs="Times New Roman"/>
          <w:sz w:val="20"/>
          <w:szCs w:val="20"/>
        </w:rPr>
      </w:pPr>
      <w:r w:rsidRPr="007C0D68">
        <w:rPr>
          <w:rFonts w:ascii="Verdana" w:hAnsi="Verdana" w:cs="Times New Roman"/>
          <w:noProof/>
          <w:sz w:val="20"/>
          <w:szCs w:val="20"/>
          <w:lang w:eastAsia="de-DE"/>
        </w:rPr>
        <w:drawing>
          <wp:anchor distT="0" distB="0" distL="114300" distR="114300" simplePos="0" relativeHeight="251658240" behindDoc="0" locked="0" layoutInCell="1" allowOverlap="1" wp14:anchorId="0EBF63A9" wp14:editId="5D1BF453">
            <wp:simplePos x="0" y="0"/>
            <wp:positionH relativeFrom="column">
              <wp:posOffset>208</wp:posOffset>
            </wp:positionH>
            <wp:positionV relativeFrom="paragraph">
              <wp:posOffset>71849</wp:posOffset>
            </wp:positionV>
            <wp:extent cx="1606053" cy="3438761"/>
            <wp:effectExtent l="0" t="0" r="0" b="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606053" cy="3438761"/>
                    </a:xfrm>
                    <a:prstGeom prst="rect">
                      <a:avLst/>
                    </a:prstGeom>
                  </pic:spPr>
                </pic:pic>
              </a:graphicData>
            </a:graphic>
            <wp14:sizeRelH relativeFrom="page">
              <wp14:pctWidth>0</wp14:pctWidth>
            </wp14:sizeRelH>
            <wp14:sizeRelV relativeFrom="page">
              <wp14:pctHeight>0</wp14:pctHeight>
            </wp14:sizeRelV>
          </wp:anchor>
        </w:drawing>
      </w:r>
    </w:p>
    <w:p w14:paraId="5C224C8F" w14:textId="0BE295E1" w:rsidR="00D122E9" w:rsidRPr="007C0D68" w:rsidRDefault="00D122E9" w:rsidP="00D122E9">
      <w:pPr>
        <w:spacing w:line="280" w:lineRule="atLeast"/>
        <w:rPr>
          <w:rFonts w:ascii="Verdana" w:hAnsi="Verdana" w:cs="Times New Roman"/>
          <w:b/>
          <w:sz w:val="20"/>
          <w:szCs w:val="20"/>
        </w:rPr>
      </w:pPr>
    </w:p>
    <w:p w14:paraId="2ADFE8E3" w14:textId="4692B052" w:rsidR="00D122E9" w:rsidRPr="007C0D68" w:rsidRDefault="00D122E9" w:rsidP="00D122E9">
      <w:pPr>
        <w:spacing w:line="280" w:lineRule="atLeast"/>
        <w:rPr>
          <w:rFonts w:ascii="Verdana" w:hAnsi="Verdana" w:cs="Times New Roman"/>
          <w:b/>
          <w:sz w:val="20"/>
          <w:szCs w:val="20"/>
        </w:rPr>
      </w:pPr>
    </w:p>
    <w:p w14:paraId="6AF60542" w14:textId="6A7CFD53" w:rsidR="00D122E9" w:rsidRPr="007C0D68" w:rsidRDefault="00D122E9" w:rsidP="00D122E9">
      <w:pPr>
        <w:spacing w:line="280" w:lineRule="atLeast"/>
        <w:rPr>
          <w:rFonts w:ascii="Verdana" w:hAnsi="Verdana" w:cs="Times New Roman"/>
          <w:b/>
          <w:sz w:val="20"/>
          <w:szCs w:val="20"/>
        </w:rPr>
      </w:pPr>
    </w:p>
    <w:p w14:paraId="7B34A90A" w14:textId="77777777" w:rsidR="00D122E9" w:rsidRPr="007C0D68" w:rsidRDefault="00D122E9" w:rsidP="00D122E9">
      <w:pPr>
        <w:spacing w:line="280" w:lineRule="atLeast"/>
        <w:rPr>
          <w:rFonts w:ascii="Verdana" w:hAnsi="Verdana" w:cs="Times New Roman"/>
          <w:b/>
          <w:sz w:val="20"/>
          <w:szCs w:val="20"/>
        </w:rPr>
      </w:pPr>
    </w:p>
    <w:p w14:paraId="2E45CC69" w14:textId="77777777" w:rsidR="00D122E9" w:rsidRPr="007C0D68" w:rsidRDefault="00D122E9" w:rsidP="00D122E9">
      <w:pPr>
        <w:spacing w:line="280" w:lineRule="atLeast"/>
        <w:rPr>
          <w:rFonts w:ascii="Verdana" w:hAnsi="Verdana" w:cs="Times New Roman"/>
          <w:b/>
          <w:sz w:val="20"/>
          <w:szCs w:val="20"/>
        </w:rPr>
      </w:pPr>
    </w:p>
    <w:p w14:paraId="46BFA1A6" w14:textId="77777777" w:rsidR="00D122E9" w:rsidRPr="007C0D68" w:rsidRDefault="00D122E9" w:rsidP="00D122E9">
      <w:pPr>
        <w:spacing w:line="280" w:lineRule="atLeast"/>
        <w:rPr>
          <w:rFonts w:ascii="Verdana" w:hAnsi="Verdana" w:cs="Times New Roman"/>
          <w:b/>
          <w:sz w:val="20"/>
          <w:szCs w:val="20"/>
        </w:rPr>
      </w:pPr>
    </w:p>
    <w:p w14:paraId="20A35CF2" w14:textId="77777777" w:rsidR="00D122E9" w:rsidRPr="007C0D68" w:rsidRDefault="00D122E9" w:rsidP="00D122E9">
      <w:pPr>
        <w:spacing w:line="280" w:lineRule="atLeast"/>
        <w:rPr>
          <w:rFonts w:ascii="Verdana" w:hAnsi="Verdana" w:cs="Times New Roman"/>
          <w:b/>
          <w:sz w:val="20"/>
          <w:szCs w:val="20"/>
        </w:rPr>
      </w:pPr>
    </w:p>
    <w:p w14:paraId="40A93E69" w14:textId="77777777" w:rsidR="00D122E9" w:rsidRPr="007C0D68" w:rsidRDefault="00D122E9" w:rsidP="00D122E9">
      <w:pPr>
        <w:spacing w:line="280" w:lineRule="atLeast"/>
        <w:rPr>
          <w:rFonts w:ascii="Verdana" w:hAnsi="Verdana" w:cs="Times New Roman"/>
          <w:b/>
          <w:sz w:val="20"/>
          <w:szCs w:val="20"/>
        </w:rPr>
      </w:pPr>
    </w:p>
    <w:p w14:paraId="37CC2B92" w14:textId="77777777" w:rsidR="00D122E9" w:rsidRPr="007C0D68" w:rsidRDefault="00D122E9" w:rsidP="00D122E9">
      <w:pPr>
        <w:spacing w:line="280" w:lineRule="atLeast"/>
        <w:rPr>
          <w:rFonts w:ascii="Verdana" w:hAnsi="Verdana" w:cs="Times New Roman"/>
          <w:b/>
          <w:sz w:val="20"/>
          <w:szCs w:val="20"/>
        </w:rPr>
      </w:pPr>
    </w:p>
    <w:p w14:paraId="21502A83" w14:textId="77777777" w:rsidR="007F32B5" w:rsidRPr="007C0D68" w:rsidRDefault="007F32B5" w:rsidP="00D122E9">
      <w:pPr>
        <w:spacing w:line="280" w:lineRule="atLeast"/>
        <w:rPr>
          <w:rFonts w:ascii="Verdana" w:hAnsi="Verdana" w:cs="Times New Roman"/>
          <w:b/>
          <w:sz w:val="20"/>
          <w:szCs w:val="20"/>
        </w:rPr>
      </w:pPr>
    </w:p>
    <w:p w14:paraId="5A8640C0" w14:textId="77777777" w:rsidR="007F32B5" w:rsidRPr="007C0D68" w:rsidRDefault="007F32B5" w:rsidP="00D122E9">
      <w:pPr>
        <w:spacing w:line="280" w:lineRule="atLeast"/>
        <w:rPr>
          <w:rFonts w:ascii="Verdana" w:hAnsi="Verdana" w:cs="Times New Roman"/>
          <w:b/>
          <w:sz w:val="20"/>
          <w:szCs w:val="20"/>
        </w:rPr>
      </w:pPr>
    </w:p>
    <w:p w14:paraId="504983DA" w14:textId="77777777" w:rsidR="00D122E9" w:rsidRPr="007C0D68" w:rsidRDefault="00D122E9" w:rsidP="00D122E9">
      <w:pPr>
        <w:spacing w:line="280" w:lineRule="atLeast"/>
        <w:rPr>
          <w:rFonts w:ascii="Verdana" w:hAnsi="Verdana" w:cs="Times New Roman"/>
          <w:sz w:val="20"/>
          <w:szCs w:val="20"/>
        </w:rPr>
      </w:pPr>
      <w:r w:rsidRPr="007C0D68">
        <w:rPr>
          <w:rFonts w:ascii="Verdana" w:hAnsi="Verdana" w:cs="Times New Roman"/>
          <w:b/>
          <w:sz w:val="20"/>
          <w:szCs w:val="20"/>
        </w:rPr>
        <w:t>Abb. 3:</w:t>
      </w:r>
      <w:r w:rsidRPr="007C0D68">
        <w:rPr>
          <w:rFonts w:ascii="Verdana" w:hAnsi="Verdana" w:cs="Times New Roman"/>
          <w:sz w:val="20"/>
          <w:szCs w:val="20"/>
        </w:rPr>
        <w:t xml:space="preserve"> Kommunikationsstrategien von EcN (mod. nach Hacker et al., 2000)</w:t>
      </w:r>
      <w:r w:rsidRPr="007C0D68">
        <w:rPr>
          <w:rFonts w:ascii="Verdana" w:hAnsi="Verdana" w:cs="Times New Roman"/>
          <w:sz w:val="20"/>
          <w:szCs w:val="20"/>
          <w:vertAlign w:val="superscript"/>
        </w:rPr>
        <w:t xml:space="preserve"> 29</w:t>
      </w:r>
    </w:p>
    <w:p w14:paraId="74AF7EBC" w14:textId="77777777" w:rsidR="007C0D68" w:rsidRDefault="007C0D68">
      <w:pPr>
        <w:spacing w:after="0" w:line="240" w:lineRule="auto"/>
        <w:rPr>
          <w:rFonts w:ascii="Verdana" w:hAnsi="Verdana" w:cs="Times New Roman"/>
          <w:b/>
          <w:sz w:val="20"/>
          <w:szCs w:val="20"/>
        </w:rPr>
      </w:pPr>
      <w:r>
        <w:rPr>
          <w:rFonts w:ascii="Verdana" w:hAnsi="Verdana" w:cs="Times New Roman"/>
          <w:b/>
          <w:sz w:val="20"/>
          <w:szCs w:val="20"/>
        </w:rPr>
        <w:br w:type="page"/>
      </w:r>
    </w:p>
    <w:p w14:paraId="2F5426FA" w14:textId="5765BA78" w:rsidR="00D122E9" w:rsidRPr="007C0D68" w:rsidRDefault="00D122E9" w:rsidP="00D122E9">
      <w:pPr>
        <w:spacing w:line="280" w:lineRule="atLeast"/>
        <w:rPr>
          <w:rFonts w:ascii="Verdana" w:hAnsi="Verdana" w:cs="Times New Roman"/>
          <w:b/>
          <w:sz w:val="20"/>
          <w:szCs w:val="20"/>
        </w:rPr>
      </w:pPr>
      <w:r w:rsidRPr="007C0D68">
        <w:rPr>
          <w:rFonts w:ascii="Verdana" w:hAnsi="Verdana" w:cs="Times New Roman"/>
          <w:b/>
          <w:sz w:val="20"/>
          <w:szCs w:val="20"/>
        </w:rPr>
        <w:lastRenderedPageBreak/>
        <w:t>Literatur:</w:t>
      </w:r>
    </w:p>
    <w:p w14:paraId="4A68040F" w14:textId="77777777" w:rsidR="00D122E9" w:rsidRPr="007C0D68" w:rsidRDefault="00D122E9" w:rsidP="00D122E9">
      <w:pPr>
        <w:pStyle w:val="Listenabsatz"/>
        <w:numPr>
          <w:ilvl w:val="0"/>
          <w:numId w:val="1"/>
        </w:numPr>
        <w:spacing w:after="0" w:line="240" w:lineRule="auto"/>
        <w:ind w:left="425" w:hanging="425"/>
        <w:rPr>
          <w:rFonts w:ascii="Verdana" w:hAnsi="Verdana" w:cs="Times New Roman"/>
          <w:sz w:val="20"/>
          <w:szCs w:val="20"/>
        </w:rPr>
      </w:pPr>
      <w:r w:rsidRPr="007C0D68">
        <w:rPr>
          <w:rFonts w:ascii="Verdana" w:hAnsi="Verdana" w:cs="Times New Roman"/>
          <w:sz w:val="20"/>
          <w:szCs w:val="20"/>
          <w:lang w:val="en-US"/>
        </w:rPr>
        <w:t xml:space="preserve">Bär F </w:t>
      </w:r>
      <w:proofErr w:type="gramStart"/>
      <w:r w:rsidRPr="007C0D68">
        <w:rPr>
          <w:rFonts w:ascii="Verdana" w:hAnsi="Verdana" w:cs="Times New Roman"/>
          <w:sz w:val="20"/>
          <w:szCs w:val="20"/>
          <w:lang w:val="en-US"/>
        </w:rPr>
        <w:t>et al.</w:t>
      </w:r>
      <w:proofErr w:type="gramEnd"/>
      <w:r w:rsidRPr="007C0D68">
        <w:rPr>
          <w:rFonts w:ascii="Verdana" w:hAnsi="Verdana" w:cs="Times New Roman"/>
          <w:sz w:val="20"/>
          <w:szCs w:val="20"/>
          <w:lang w:val="en-US"/>
        </w:rPr>
        <w:t xml:space="preserve"> Cell-free supernatants of Escherichia coli Nissle 1917 modulate human colonic motility: evidence from an in vitro organ bath study. </w:t>
      </w:r>
      <w:r w:rsidRPr="007C0D68">
        <w:rPr>
          <w:rFonts w:ascii="Verdana" w:hAnsi="Verdana" w:cs="Times New Roman"/>
          <w:sz w:val="20"/>
          <w:szCs w:val="20"/>
        </w:rPr>
        <w:t xml:space="preserve">Neurogastroenterol Motil 2009; 21: 559–e17. </w:t>
      </w:r>
    </w:p>
    <w:p w14:paraId="137098FB" w14:textId="77777777" w:rsidR="00D122E9" w:rsidRPr="007C0D68" w:rsidRDefault="00D122E9" w:rsidP="00D122E9">
      <w:pPr>
        <w:pStyle w:val="Listenabsatz"/>
        <w:numPr>
          <w:ilvl w:val="0"/>
          <w:numId w:val="1"/>
        </w:numPr>
        <w:spacing w:after="0" w:line="240" w:lineRule="auto"/>
        <w:ind w:left="425" w:hanging="425"/>
        <w:rPr>
          <w:rFonts w:ascii="Verdana" w:hAnsi="Verdana" w:cs="Times New Roman"/>
          <w:sz w:val="20"/>
          <w:szCs w:val="20"/>
        </w:rPr>
      </w:pPr>
      <w:r w:rsidRPr="007C0D68">
        <w:rPr>
          <w:rFonts w:ascii="Verdana" w:hAnsi="Verdana" w:cs="Times New Roman"/>
          <w:sz w:val="20"/>
          <w:szCs w:val="20"/>
        </w:rPr>
        <w:t xml:space="preserve">Möllenbrink M, Bruckschen E. Behandlung der chronischen Obstipation mit physiologischen Escherichia-coli-Bakterien. Med Klin 1994; 89: 587–593. </w:t>
      </w:r>
    </w:p>
    <w:p w14:paraId="61A98D61" w14:textId="77777777" w:rsidR="00D122E9" w:rsidRPr="007C0D68" w:rsidRDefault="00D122E9" w:rsidP="00D122E9">
      <w:pPr>
        <w:pStyle w:val="Listenabsatz"/>
        <w:numPr>
          <w:ilvl w:val="0"/>
          <w:numId w:val="1"/>
        </w:numPr>
        <w:spacing w:after="0" w:line="240" w:lineRule="auto"/>
        <w:ind w:left="425" w:hanging="425"/>
        <w:rPr>
          <w:rFonts w:ascii="Verdana" w:hAnsi="Verdana" w:cs="Times New Roman"/>
          <w:sz w:val="20"/>
          <w:szCs w:val="20"/>
        </w:rPr>
      </w:pPr>
      <w:r w:rsidRPr="007C0D68">
        <w:rPr>
          <w:rFonts w:ascii="Verdana" w:hAnsi="Verdana" w:cs="Times New Roman"/>
          <w:sz w:val="20"/>
          <w:szCs w:val="20"/>
          <w:lang w:val="en-US"/>
        </w:rPr>
        <w:t xml:space="preserve">Ukena SN et al. Probiotic Escherichia coli Nissle 1917 inhibits leaky gut by enhancing mucosal integrity. </w:t>
      </w:r>
      <w:r w:rsidRPr="007C0D68">
        <w:rPr>
          <w:rFonts w:ascii="Verdana" w:hAnsi="Verdana" w:cs="Times New Roman"/>
          <w:sz w:val="20"/>
          <w:szCs w:val="20"/>
        </w:rPr>
        <w:t xml:space="preserve">PLOS ONE 2007; 12: e1308; 1–9. </w:t>
      </w:r>
    </w:p>
    <w:p w14:paraId="40A1A4EB" w14:textId="77777777" w:rsidR="00D122E9" w:rsidRPr="007C0D68" w:rsidRDefault="00D122E9" w:rsidP="00D122E9">
      <w:pPr>
        <w:pStyle w:val="Listenabsatz"/>
        <w:numPr>
          <w:ilvl w:val="0"/>
          <w:numId w:val="1"/>
        </w:numPr>
        <w:spacing w:after="0" w:line="240" w:lineRule="auto"/>
        <w:ind w:left="425" w:hanging="425"/>
        <w:rPr>
          <w:rFonts w:ascii="Verdana" w:hAnsi="Verdana" w:cs="Times New Roman"/>
          <w:sz w:val="20"/>
          <w:szCs w:val="20"/>
        </w:rPr>
      </w:pPr>
      <w:r w:rsidRPr="007C0D68">
        <w:rPr>
          <w:rFonts w:ascii="Verdana" w:hAnsi="Verdana" w:cs="Times New Roman"/>
          <w:sz w:val="20"/>
          <w:szCs w:val="20"/>
          <w:lang w:val="en-US"/>
        </w:rPr>
        <w:t xml:space="preserve">Zyrek AA et al. Molecular mechanisms underlying the probiotic effects of Escherichia coli Nissle 1917 involve ZO-2 and PKCz redistribution resulting in tight junction and epithelial barrier repair. </w:t>
      </w:r>
      <w:r w:rsidRPr="007C0D68">
        <w:rPr>
          <w:rFonts w:ascii="Verdana" w:hAnsi="Verdana" w:cs="Times New Roman"/>
          <w:sz w:val="20"/>
          <w:szCs w:val="20"/>
        </w:rPr>
        <w:t xml:space="preserve">Cell Microbiol 2007; 9: 804–816. </w:t>
      </w:r>
    </w:p>
    <w:p w14:paraId="1440ADAE" w14:textId="77777777" w:rsidR="00D122E9" w:rsidRPr="007C0D68" w:rsidRDefault="00D122E9" w:rsidP="00D122E9">
      <w:pPr>
        <w:pStyle w:val="Listenabsatz"/>
        <w:numPr>
          <w:ilvl w:val="0"/>
          <w:numId w:val="1"/>
        </w:numPr>
        <w:spacing w:after="0" w:line="240" w:lineRule="auto"/>
        <w:ind w:left="425" w:hanging="425"/>
        <w:rPr>
          <w:rFonts w:ascii="Verdana" w:hAnsi="Verdana" w:cs="Times New Roman"/>
          <w:sz w:val="20"/>
          <w:szCs w:val="20"/>
        </w:rPr>
      </w:pPr>
      <w:r w:rsidRPr="007C0D68">
        <w:rPr>
          <w:rFonts w:ascii="Verdana" w:hAnsi="Verdana" w:cs="Times New Roman"/>
          <w:sz w:val="20"/>
          <w:szCs w:val="20"/>
          <w:lang w:val="en-US"/>
        </w:rPr>
        <w:t xml:space="preserve">Rund SA et al. Antagonistic effects of probiotic Escherichia coli Nissle 1917 on EHEC strains of serotype O104:H4 and O157:H7. </w:t>
      </w:r>
      <w:r w:rsidRPr="007C0D68">
        <w:rPr>
          <w:rFonts w:ascii="Verdana" w:hAnsi="Verdana" w:cs="Times New Roman"/>
          <w:sz w:val="20"/>
          <w:szCs w:val="20"/>
        </w:rPr>
        <w:t xml:space="preserve">Int J Med Microbiol 2013; 303: 1–8. </w:t>
      </w:r>
    </w:p>
    <w:p w14:paraId="1053ABAE" w14:textId="77777777" w:rsidR="00D122E9" w:rsidRPr="007C0D68" w:rsidRDefault="00D122E9" w:rsidP="00D122E9">
      <w:pPr>
        <w:pStyle w:val="Listenabsatz"/>
        <w:numPr>
          <w:ilvl w:val="0"/>
          <w:numId w:val="1"/>
        </w:numPr>
        <w:spacing w:after="0" w:line="240" w:lineRule="auto"/>
        <w:ind w:left="425" w:hanging="425"/>
        <w:rPr>
          <w:rFonts w:ascii="Verdana" w:hAnsi="Verdana" w:cs="Times New Roman"/>
          <w:sz w:val="20"/>
          <w:szCs w:val="20"/>
        </w:rPr>
      </w:pPr>
      <w:r w:rsidRPr="007C0D68">
        <w:rPr>
          <w:rFonts w:ascii="Verdana" w:hAnsi="Verdana" w:cs="Times New Roman"/>
          <w:sz w:val="20"/>
          <w:szCs w:val="20"/>
        </w:rPr>
        <w:t>Schröder H. Entwicklung der aeroben Darmflora bei Neugeborenen nach Kolonisierung mit dem E.</w:t>
      </w:r>
      <w:r w:rsidRPr="007C0D68">
        <w:rPr>
          <w:rFonts w:ascii="Calibri" w:eastAsia="Calibri" w:hAnsi="Calibri" w:cs="Calibri"/>
          <w:sz w:val="20"/>
          <w:szCs w:val="20"/>
        </w:rPr>
        <w:t> </w:t>
      </w:r>
      <w:r w:rsidRPr="007C0D68">
        <w:rPr>
          <w:rFonts w:ascii="Verdana" w:hAnsi="Verdana" w:cs="Times New Roman"/>
          <w:sz w:val="20"/>
          <w:szCs w:val="20"/>
        </w:rPr>
        <w:t xml:space="preserve">coli-Stamm Nissle 1917. Der Kinderarzt 1992; 23(10): 1619–1625. </w:t>
      </w:r>
    </w:p>
    <w:p w14:paraId="74EDDFEA" w14:textId="77777777" w:rsidR="00D122E9" w:rsidRPr="007C0D68" w:rsidRDefault="00D122E9" w:rsidP="00D122E9">
      <w:pPr>
        <w:pStyle w:val="Listenabsatz"/>
        <w:numPr>
          <w:ilvl w:val="0"/>
          <w:numId w:val="1"/>
        </w:numPr>
        <w:spacing w:after="0" w:line="240" w:lineRule="auto"/>
        <w:ind w:left="425" w:hanging="425"/>
        <w:rPr>
          <w:rFonts w:ascii="Verdana" w:hAnsi="Verdana" w:cs="Times New Roman"/>
          <w:sz w:val="20"/>
          <w:szCs w:val="20"/>
        </w:rPr>
      </w:pPr>
      <w:r w:rsidRPr="007C0D68">
        <w:rPr>
          <w:rFonts w:ascii="Verdana" w:hAnsi="Verdana" w:cs="Times New Roman"/>
          <w:sz w:val="20"/>
          <w:szCs w:val="20"/>
          <w:lang w:val="en-US"/>
        </w:rPr>
        <w:t xml:space="preserve">Lodinová-Žádníková R, Sonnenborn U. Effect of preventive administration of a nonpathogenic Escherichia coli strain on the colonization of the intestine with microbial pathogens in newborn infants. </w:t>
      </w:r>
      <w:r w:rsidRPr="007C0D68">
        <w:rPr>
          <w:rFonts w:ascii="Verdana" w:hAnsi="Verdana" w:cs="Times New Roman"/>
          <w:sz w:val="20"/>
          <w:szCs w:val="20"/>
        </w:rPr>
        <w:t xml:space="preserve">Biol Neonate 1997; 71: 224–232. </w:t>
      </w:r>
    </w:p>
    <w:p w14:paraId="64B40C91" w14:textId="77777777" w:rsidR="00D122E9" w:rsidRPr="007C0D68" w:rsidRDefault="00D122E9" w:rsidP="00D122E9">
      <w:pPr>
        <w:pStyle w:val="Listenabsatz"/>
        <w:numPr>
          <w:ilvl w:val="0"/>
          <w:numId w:val="1"/>
        </w:numPr>
        <w:spacing w:after="0" w:line="240" w:lineRule="auto"/>
        <w:ind w:left="425" w:hanging="425"/>
        <w:rPr>
          <w:rFonts w:ascii="Verdana" w:hAnsi="Verdana" w:cs="Times New Roman"/>
          <w:sz w:val="20"/>
          <w:szCs w:val="20"/>
        </w:rPr>
      </w:pPr>
      <w:r w:rsidRPr="007C0D68">
        <w:rPr>
          <w:rFonts w:ascii="Verdana" w:hAnsi="Verdana" w:cs="Times New Roman"/>
          <w:sz w:val="20"/>
          <w:szCs w:val="20"/>
          <w:lang w:val="en-US"/>
        </w:rPr>
        <w:t xml:space="preserve">Cukrowska B </w:t>
      </w:r>
      <w:proofErr w:type="gramStart"/>
      <w:r w:rsidRPr="007C0D68">
        <w:rPr>
          <w:rFonts w:ascii="Verdana" w:hAnsi="Verdana" w:cs="Times New Roman"/>
          <w:sz w:val="20"/>
          <w:szCs w:val="20"/>
          <w:lang w:val="en-US"/>
        </w:rPr>
        <w:t>et al.</w:t>
      </w:r>
      <w:proofErr w:type="gramEnd"/>
      <w:r w:rsidRPr="007C0D68">
        <w:rPr>
          <w:rFonts w:ascii="Verdana" w:hAnsi="Verdana" w:cs="Times New Roman"/>
          <w:sz w:val="20"/>
          <w:szCs w:val="20"/>
          <w:lang w:val="en-US"/>
        </w:rPr>
        <w:t xml:space="preserve"> Specific proliferative and antibody responses of premature infants to intestinal colonization with nonpathogenic probiotic E.</w:t>
      </w:r>
      <w:r w:rsidRPr="007C0D68">
        <w:rPr>
          <w:rFonts w:ascii="Calibri" w:eastAsia="Calibri" w:hAnsi="Calibri" w:cs="Calibri"/>
          <w:sz w:val="20"/>
          <w:szCs w:val="20"/>
          <w:lang w:val="en-US"/>
        </w:rPr>
        <w:t> </w:t>
      </w:r>
      <w:r w:rsidRPr="007C0D68">
        <w:rPr>
          <w:rFonts w:ascii="Verdana" w:hAnsi="Verdana" w:cs="Times New Roman"/>
          <w:sz w:val="20"/>
          <w:szCs w:val="20"/>
          <w:lang w:val="en-US"/>
        </w:rPr>
        <w:t xml:space="preserve">coli strain Nissle 1917. </w:t>
      </w:r>
      <w:r w:rsidRPr="007C0D68">
        <w:rPr>
          <w:rFonts w:ascii="Verdana" w:hAnsi="Verdana" w:cs="Times New Roman"/>
          <w:sz w:val="20"/>
          <w:szCs w:val="20"/>
        </w:rPr>
        <w:t xml:space="preserve">Scand J Immunol 2002; 55: 204–209. </w:t>
      </w:r>
    </w:p>
    <w:p w14:paraId="6A52FA8E" w14:textId="77777777" w:rsidR="00D122E9" w:rsidRPr="007C0D68" w:rsidRDefault="00D122E9" w:rsidP="00D122E9">
      <w:pPr>
        <w:pStyle w:val="Listenabsatz"/>
        <w:numPr>
          <w:ilvl w:val="0"/>
          <w:numId w:val="1"/>
        </w:numPr>
        <w:spacing w:after="0" w:line="240" w:lineRule="auto"/>
        <w:ind w:left="425" w:hanging="425"/>
        <w:rPr>
          <w:rFonts w:ascii="Verdana" w:hAnsi="Verdana" w:cs="Times New Roman"/>
          <w:sz w:val="20"/>
          <w:szCs w:val="20"/>
        </w:rPr>
      </w:pPr>
      <w:r w:rsidRPr="007C0D68">
        <w:rPr>
          <w:rFonts w:ascii="Verdana" w:hAnsi="Verdana" w:cs="Times New Roman"/>
          <w:sz w:val="20"/>
          <w:szCs w:val="20"/>
        </w:rPr>
        <w:t xml:space="preserve">Lodinová-Žádníková R et al. </w:t>
      </w:r>
      <w:r w:rsidRPr="007C0D68">
        <w:rPr>
          <w:rFonts w:ascii="Verdana" w:hAnsi="Verdana" w:cs="Times New Roman"/>
          <w:sz w:val="20"/>
          <w:szCs w:val="20"/>
          <w:lang w:val="en-US"/>
        </w:rPr>
        <w:t>Local and serum antibody response in fullterm and premature infants after artificial colonization of the intestine with E.</w:t>
      </w:r>
      <w:r w:rsidRPr="007C0D68">
        <w:rPr>
          <w:rFonts w:ascii="Calibri" w:eastAsia="Calibri" w:hAnsi="Calibri" w:cs="Calibri"/>
          <w:sz w:val="20"/>
          <w:szCs w:val="20"/>
          <w:lang w:val="en-US"/>
        </w:rPr>
        <w:t> </w:t>
      </w:r>
      <w:r w:rsidRPr="007C0D68">
        <w:rPr>
          <w:rFonts w:ascii="Verdana" w:hAnsi="Verdana" w:cs="Times New Roman"/>
          <w:sz w:val="20"/>
          <w:szCs w:val="20"/>
          <w:lang w:val="en-US"/>
        </w:rPr>
        <w:t xml:space="preserve">coli strain Nissle 1917 (Mutaflor). </w:t>
      </w:r>
      <w:r w:rsidRPr="007C0D68">
        <w:rPr>
          <w:rFonts w:ascii="Verdana" w:hAnsi="Verdana" w:cs="Times New Roman"/>
          <w:sz w:val="20"/>
          <w:szCs w:val="20"/>
        </w:rPr>
        <w:t xml:space="preserve">Pediatr Allergy Immunol 1992; 3: 43–48. </w:t>
      </w:r>
    </w:p>
    <w:p w14:paraId="0C62F84C" w14:textId="77777777" w:rsidR="00D122E9" w:rsidRPr="007C0D68" w:rsidRDefault="00D122E9" w:rsidP="00D122E9">
      <w:pPr>
        <w:pStyle w:val="Listenabsatz"/>
        <w:numPr>
          <w:ilvl w:val="0"/>
          <w:numId w:val="1"/>
        </w:numPr>
        <w:spacing w:after="0" w:line="240" w:lineRule="auto"/>
        <w:ind w:left="425" w:hanging="425"/>
        <w:rPr>
          <w:rFonts w:ascii="Verdana" w:hAnsi="Verdana" w:cs="Times New Roman"/>
          <w:sz w:val="20"/>
          <w:szCs w:val="20"/>
        </w:rPr>
      </w:pPr>
      <w:r w:rsidRPr="007C0D68">
        <w:rPr>
          <w:rFonts w:ascii="Verdana" w:hAnsi="Verdana" w:cs="Times New Roman"/>
          <w:sz w:val="20"/>
          <w:szCs w:val="20"/>
          <w:lang w:val="en-US"/>
        </w:rPr>
        <w:t xml:space="preserve">Kruis W, et al. Maintaining remission of ulcerative colitis with the probiotic Escherichia coli Nissle 1917 is as effective as with standard mesalazine. </w:t>
      </w:r>
      <w:r w:rsidRPr="007C0D68">
        <w:rPr>
          <w:rFonts w:ascii="Verdana" w:hAnsi="Verdana" w:cs="Times New Roman"/>
          <w:sz w:val="20"/>
          <w:szCs w:val="20"/>
        </w:rPr>
        <w:t xml:space="preserve">Gut 2004; 53: 1617–1623. </w:t>
      </w:r>
    </w:p>
    <w:p w14:paraId="4BDC45DD" w14:textId="77777777" w:rsidR="00D122E9" w:rsidRPr="007C0D68" w:rsidRDefault="00D122E9" w:rsidP="00D122E9">
      <w:pPr>
        <w:pStyle w:val="Listenabsatz"/>
        <w:numPr>
          <w:ilvl w:val="0"/>
          <w:numId w:val="1"/>
        </w:numPr>
        <w:spacing w:after="0" w:line="240" w:lineRule="auto"/>
        <w:ind w:left="425" w:hanging="425"/>
        <w:rPr>
          <w:rFonts w:ascii="Verdana" w:hAnsi="Verdana" w:cs="Times New Roman"/>
          <w:sz w:val="20"/>
          <w:szCs w:val="20"/>
        </w:rPr>
      </w:pPr>
      <w:r w:rsidRPr="007C0D68">
        <w:rPr>
          <w:rFonts w:ascii="Verdana" w:hAnsi="Verdana" w:cs="Times New Roman"/>
          <w:sz w:val="20"/>
          <w:szCs w:val="20"/>
          <w:lang w:val="en-US"/>
        </w:rPr>
        <w:t xml:space="preserve">Rembacken BJ et al. Non-pathogenic Escherichia coli versus mesalazine for the treatment of ulcerative colitis: a randomised trial. </w:t>
      </w:r>
      <w:r w:rsidRPr="007C0D68">
        <w:rPr>
          <w:rFonts w:ascii="Verdana" w:hAnsi="Verdana" w:cs="Times New Roman"/>
          <w:sz w:val="20"/>
          <w:szCs w:val="20"/>
        </w:rPr>
        <w:t xml:space="preserve">Lancet 1999; 354: 635–639. </w:t>
      </w:r>
    </w:p>
    <w:p w14:paraId="5C710959" w14:textId="77777777" w:rsidR="00D122E9" w:rsidRPr="007C0D68" w:rsidRDefault="00D122E9" w:rsidP="00D122E9">
      <w:pPr>
        <w:pStyle w:val="Listenabsatz"/>
        <w:numPr>
          <w:ilvl w:val="0"/>
          <w:numId w:val="1"/>
        </w:numPr>
        <w:spacing w:after="0" w:line="240" w:lineRule="auto"/>
        <w:ind w:left="425" w:hanging="425"/>
        <w:rPr>
          <w:rFonts w:ascii="Verdana" w:hAnsi="Verdana" w:cs="Times New Roman"/>
          <w:sz w:val="20"/>
          <w:szCs w:val="20"/>
        </w:rPr>
      </w:pPr>
      <w:r w:rsidRPr="007C0D68">
        <w:rPr>
          <w:rFonts w:ascii="Verdana" w:hAnsi="Verdana" w:cs="Times New Roman"/>
          <w:sz w:val="20"/>
          <w:szCs w:val="20"/>
          <w:lang w:val="en-US"/>
        </w:rPr>
        <w:t xml:space="preserve">Wehkamp J et al. NF-kappaB- and AP-1-mediated induction of human beta defensin-2 in intestinal epithelial cells by Escherichia coli Nissle 1917: a novel effect of a probiotic bacterium. </w:t>
      </w:r>
      <w:r w:rsidRPr="007C0D68">
        <w:rPr>
          <w:rFonts w:ascii="Verdana" w:hAnsi="Verdana" w:cs="Times New Roman"/>
          <w:sz w:val="20"/>
          <w:szCs w:val="20"/>
        </w:rPr>
        <w:t>Infect Immun 2004; 72(10): 5750–5758.</w:t>
      </w:r>
    </w:p>
    <w:p w14:paraId="778081E8" w14:textId="77777777" w:rsidR="00D122E9" w:rsidRPr="007C0D68" w:rsidRDefault="00D122E9" w:rsidP="00D122E9">
      <w:pPr>
        <w:pStyle w:val="Listenabsatz"/>
        <w:numPr>
          <w:ilvl w:val="0"/>
          <w:numId w:val="1"/>
        </w:numPr>
        <w:spacing w:after="0" w:line="240" w:lineRule="auto"/>
        <w:ind w:left="425" w:hanging="425"/>
        <w:rPr>
          <w:rFonts w:ascii="Verdana" w:hAnsi="Verdana" w:cs="Times New Roman"/>
          <w:sz w:val="20"/>
          <w:szCs w:val="20"/>
        </w:rPr>
      </w:pPr>
      <w:r w:rsidRPr="007C0D68">
        <w:rPr>
          <w:rFonts w:ascii="Verdana" w:hAnsi="Verdana" w:cs="Times New Roman"/>
          <w:sz w:val="20"/>
          <w:szCs w:val="20"/>
          <w:lang w:val="en-US"/>
        </w:rPr>
        <w:t xml:space="preserve">Troge A et al. More than a marine propeller – the flagellum of the probiotic Escherichia coli strain Nissle 1917 is the major adhesin mediating binding to human mucus. </w:t>
      </w:r>
      <w:r w:rsidRPr="007C0D68">
        <w:rPr>
          <w:rFonts w:ascii="Verdana" w:hAnsi="Verdana" w:cs="Times New Roman"/>
          <w:sz w:val="20"/>
          <w:szCs w:val="20"/>
        </w:rPr>
        <w:t>Int J Med Microbiol 2012; 302: 304–314.</w:t>
      </w:r>
    </w:p>
    <w:p w14:paraId="180494AC" w14:textId="77777777" w:rsidR="00D122E9" w:rsidRPr="007C0D68" w:rsidRDefault="00D122E9" w:rsidP="00D122E9">
      <w:pPr>
        <w:pStyle w:val="Listenabsatz"/>
        <w:numPr>
          <w:ilvl w:val="0"/>
          <w:numId w:val="1"/>
        </w:numPr>
        <w:spacing w:after="0" w:line="240" w:lineRule="auto"/>
        <w:ind w:left="425" w:hanging="425"/>
        <w:rPr>
          <w:rFonts w:ascii="Verdana" w:hAnsi="Verdana" w:cs="Times New Roman"/>
          <w:sz w:val="20"/>
          <w:szCs w:val="20"/>
        </w:rPr>
      </w:pPr>
      <w:r w:rsidRPr="007C0D68">
        <w:rPr>
          <w:rFonts w:ascii="Verdana" w:hAnsi="Verdana" w:cs="Times New Roman"/>
          <w:sz w:val="20"/>
          <w:szCs w:val="20"/>
          <w:lang w:val="en-US"/>
        </w:rPr>
        <w:t xml:space="preserve">Patzer S I et al. The colicin G, H and X determinants encode microcins M and H47, which might utilize the catecholate siderophore receptors FepA, Cir, Fiu and IroN. </w:t>
      </w:r>
      <w:proofErr w:type="spellStart"/>
      <w:r w:rsidRPr="007C0D68">
        <w:rPr>
          <w:rFonts w:ascii="Verdana" w:hAnsi="Verdana" w:cs="Times New Roman"/>
          <w:sz w:val="20"/>
          <w:szCs w:val="20"/>
        </w:rPr>
        <w:t>Microbiology</w:t>
      </w:r>
      <w:proofErr w:type="spellEnd"/>
      <w:r w:rsidRPr="007C0D68">
        <w:rPr>
          <w:rFonts w:ascii="Verdana" w:hAnsi="Verdana" w:cs="Times New Roman"/>
          <w:sz w:val="20"/>
          <w:szCs w:val="20"/>
        </w:rPr>
        <w:t xml:space="preserve"> 2003; 149: 2557–2570.</w:t>
      </w:r>
    </w:p>
    <w:p w14:paraId="02C859D6" w14:textId="77777777" w:rsidR="00D122E9" w:rsidRPr="007C0D68" w:rsidRDefault="00D122E9" w:rsidP="00D122E9">
      <w:pPr>
        <w:pStyle w:val="Listenabsatz"/>
        <w:numPr>
          <w:ilvl w:val="0"/>
          <w:numId w:val="1"/>
        </w:numPr>
        <w:spacing w:after="0" w:line="240" w:lineRule="auto"/>
        <w:ind w:left="425" w:hanging="425"/>
        <w:rPr>
          <w:rFonts w:ascii="Verdana" w:hAnsi="Verdana" w:cs="Times New Roman"/>
          <w:sz w:val="20"/>
          <w:szCs w:val="20"/>
        </w:rPr>
      </w:pPr>
      <w:r w:rsidRPr="007C0D68">
        <w:rPr>
          <w:rFonts w:ascii="Verdana" w:hAnsi="Verdana" w:cs="Times New Roman"/>
          <w:sz w:val="20"/>
          <w:szCs w:val="20"/>
          <w:lang w:val="en-US"/>
        </w:rPr>
        <w:t xml:space="preserve">Oelschlaeger TA et al. Inhibition of Salmonella typhimurium invasion into intestinal cells by the probiotic E. coli strain Nissle 1917. </w:t>
      </w:r>
      <w:r w:rsidRPr="007C0D68">
        <w:rPr>
          <w:rFonts w:ascii="Verdana" w:hAnsi="Verdana" w:cs="Times New Roman"/>
          <w:sz w:val="20"/>
          <w:szCs w:val="20"/>
        </w:rPr>
        <w:t>Gastroenterology 2001; 120: A326.</w:t>
      </w:r>
    </w:p>
    <w:p w14:paraId="5B2B27EE" w14:textId="77777777" w:rsidR="00D122E9" w:rsidRPr="007C0D68" w:rsidRDefault="00D122E9" w:rsidP="00D122E9">
      <w:pPr>
        <w:pStyle w:val="Listenabsatz"/>
        <w:numPr>
          <w:ilvl w:val="0"/>
          <w:numId w:val="1"/>
        </w:numPr>
        <w:spacing w:after="0" w:line="240" w:lineRule="auto"/>
        <w:ind w:left="425" w:hanging="425"/>
        <w:rPr>
          <w:rFonts w:ascii="Verdana" w:hAnsi="Verdana" w:cs="Times New Roman"/>
          <w:sz w:val="20"/>
          <w:szCs w:val="20"/>
        </w:rPr>
      </w:pPr>
      <w:r w:rsidRPr="007C0D68">
        <w:rPr>
          <w:rFonts w:ascii="Verdana" w:hAnsi="Verdana" w:cs="Times New Roman"/>
          <w:sz w:val="20"/>
          <w:szCs w:val="20"/>
          <w:lang w:val="en-US"/>
        </w:rPr>
        <w:t xml:space="preserve">Boudeau J et al. Inhibitory effect of probiotic Escherichia coli strain Nissle 1917 on adhesion to and invasion of intestinal epithelial cells by adherent-invasive E. coli strains isolated from patients with </w:t>
      </w:r>
      <w:proofErr w:type="gramStart"/>
      <w:r w:rsidRPr="007C0D68">
        <w:rPr>
          <w:rFonts w:ascii="Verdana" w:hAnsi="Verdana" w:cs="Times New Roman"/>
          <w:sz w:val="20"/>
          <w:szCs w:val="20"/>
          <w:lang w:val="en-US"/>
        </w:rPr>
        <w:t>Crohn‘</w:t>
      </w:r>
      <w:proofErr w:type="gramEnd"/>
      <w:r w:rsidRPr="007C0D68">
        <w:rPr>
          <w:rFonts w:ascii="Verdana" w:hAnsi="Verdana" w:cs="Times New Roman"/>
          <w:sz w:val="20"/>
          <w:szCs w:val="20"/>
          <w:lang w:val="en-US"/>
        </w:rPr>
        <w:t xml:space="preserve">s disease. </w:t>
      </w:r>
      <w:r w:rsidRPr="007C0D68">
        <w:rPr>
          <w:rFonts w:ascii="Verdana" w:hAnsi="Verdana" w:cs="Times New Roman"/>
          <w:sz w:val="20"/>
          <w:szCs w:val="20"/>
        </w:rPr>
        <w:t>Aliment Pharmacol Ther 2003; 18: 45–56.</w:t>
      </w:r>
    </w:p>
    <w:p w14:paraId="21A7B05A" w14:textId="77777777" w:rsidR="00D122E9" w:rsidRPr="007C0D68" w:rsidRDefault="00D122E9" w:rsidP="00D122E9">
      <w:pPr>
        <w:pStyle w:val="Listenabsatz"/>
        <w:numPr>
          <w:ilvl w:val="0"/>
          <w:numId w:val="1"/>
        </w:numPr>
        <w:spacing w:after="0" w:line="240" w:lineRule="auto"/>
        <w:ind w:left="425" w:hanging="425"/>
        <w:rPr>
          <w:rFonts w:ascii="Verdana" w:hAnsi="Verdana" w:cs="Times New Roman"/>
          <w:sz w:val="20"/>
          <w:szCs w:val="20"/>
        </w:rPr>
      </w:pPr>
      <w:r w:rsidRPr="007C0D68">
        <w:rPr>
          <w:rFonts w:ascii="Verdana" w:hAnsi="Verdana" w:cs="Times New Roman"/>
          <w:sz w:val="20"/>
          <w:szCs w:val="20"/>
          <w:lang w:val="en-US"/>
        </w:rPr>
        <w:t xml:space="preserve">Altenhoefer A et al. The probiotic Escherichia coli strain Nissle 1917 interferes with invasion of human intestinal epithelial cells by different enteroinvasive bacterial pathogens. </w:t>
      </w:r>
      <w:r w:rsidRPr="007C0D68">
        <w:rPr>
          <w:rFonts w:ascii="Verdana" w:hAnsi="Verdana" w:cs="Times New Roman"/>
          <w:sz w:val="20"/>
          <w:szCs w:val="20"/>
        </w:rPr>
        <w:t>FEMS Immunol Med Microbiol 2004; 40: 223–229.</w:t>
      </w:r>
    </w:p>
    <w:p w14:paraId="392543D6" w14:textId="77777777" w:rsidR="00D122E9" w:rsidRPr="007C0D68" w:rsidRDefault="00D122E9" w:rsidP="00D122E9">
      <w:pPr>
        <w:pStyle w:val="Listenabsatz"/>
        <w:numPr>
          <w:ilvl w:val="0"/>
          <w:numId w:val="1"/>
        </w:numPr>
        <w:spacing w:after="0" w:line="240" w:lineRule="auto"/>
        <w:ind w:left="425" w:hanging="425"/>
        <w:rPr>
          <w:rFonts w:ascii="Verdana" w:hAnsi="Verdana" w:cs="Times New Roman"/>
          <w:sz w:val="20"/>
          <w:szCs w:val="20"/>
        </w:rPr>
      </w:pPr>
      <w:r w:rsidRPr="007C0D68">
        <w:rPr>
          <w:rFonts w:ascii="Verdana" w:hAnsi="Verdana" w:cs="Times New Roman"/>
          <w:sz w:val="20"/>
          <w:szCs w:val="20"/>
          <w:lang w:val="en-US"/>
        </w:rPr>
        <w:lastRenderedPageBreak/>
        <w:t xml:space="preserve">Kleta S </w:t>
      </w:r>
      <w:proofErr w:type="gramStart"/>
      <w:r w:rsidRPr="007C0D68">
        <w:rPr>
          <w:rFonts w:ascii="Verdana" w:hAnsi="Verdana" w:cs="Times New Roman"/>
          <w:sz w:val="20"/>
          <w:szCs w:val="20"/>
          <w:lang w:val="en-US"/>
        </w:rPr>
        <w:t>et al.</w:t>
      </w:r>
      <w:proofErr w:type="gramEnd"/>
      <w:r w:rsidRPr="007C0D68">
        <w:rPr>
          <w:rFonts w:ascii="Verdana" w:hAnsi="Verdana" w:cs="Times New Roman"/>
          <w:sz w:val="20"/>
          <w:szCs w:val="20"/>
          <w:lang w:val="en-US"/>
        </w:rPr>
        <w:t xml:space="preserve"> Role of F1C fimbriae, flagella, and secreted bacterial components in the inhibitory effect of probiotic Escherichia coli Nissle 1917 on atypical enteropathogenic E. coli infection. </w:t>
      </w:r>
      <w:r w:rsidRPr="007C0D68">
        <w:rPr>
          <w:rFonts w:ascii="Verdana" w:hAnsi="Verdana" w:cs="Times New Roman"/>
          <w:sz w:val="20"/>
          <w:szCs w:val="20"/>
        </w:rPr>
        <w:t>Infect Immun 2014; 82(5): 1801–1812.</w:t>
      </w:r>
    </w:p>
    <w:p w14:paraId="65A84C18" w14:textId="77777777" w:rsidR="00D122E9" w:rsidRPr="007C0D68" w:rsidRDefault="00D122E9" w:rsidP="00D122E9">
      <w:pPr>
        <w:pStyle w:val="Listenabsatz"/>
        <w:numPr>
          <w:ilvl w:val="0"/>
          <w:numId w:val="1"/>
        </w:numPr>
        <w:spacing w:after="0" w:line="240" w:lineRule="auto"/>
        <w:ind w:left="425" w:hanging="425"/>
        <w:rPr>
          <w:rFonts w:ascii="Verdana" w:hAnsi="Verdana" w:cs="Times New Roman"/>
          <w:sz w:val="20"/>
          <w:szCs w:val="20"/>
        </w:rPr>
      </w:pPr>
      <w:r w:rsidRPr="007C0D68">
        <w:rPr>
          <w:rFonts w:ascii="Verdana" w:hAnsi="Verdana" w:cs="Times New Roman"/>
          <w:sz w:val="20"/>
          <w:szCs w:val="20"/>
          <w:lang w:val="en-US"/>
        </w:rPr>
        <w:t xml:space="preserve">Leatham MP et al. Precolonized human commensal Escherichia coli strains serve as a barrier to E. coli O157:H7 growth in the streptomycin-treated mouse intestine. </w:t>
      </w:r>
      <w:r w:rsidRPr="007C0D68">
        <w:rPr>
          <w:rFonts w:ascii="Verdana" w:hAnsi="Verdana" w:cs="Times New Roman"/>
          <w:sz w:val="20"/>
          <w:szCs w:val="20"/>
        </w:rPr>
        <w:t>Infect Immun 2009; 77: 2876–2886.</w:t>
      </w:r>
    </w:p>
    <w:p w14:paraId="047C2F61" w14:textId="77777777" w:rsidR="00D122E9" w:rsidRPr="007C0D68" w:rsidRDefault="00D122E9" w:rsidP="00D122E9">
      <w:pPr>
        <w:pStyle w:val="Listenabsatz"/>
        <w:numPr>
          <w:ilvl w:val="0"/>
          <w:numId w:val="1"/>
        </w:numPr>
        <w:spacing w:after="0" w:line="240" w:lineRule="auto"/>
        <w:ind w:left="425" w:hanging="425"/>
        <w:rPr>
          <w:rFonts w:ascii="Verdana" w:hAnsi="Verdana" w:cs="Times New Roman"/>
          <w:sz w:val="20"/>
          <w:szCs w:val="20"/>
        </w:rPr>
      </w:pPr>
      <w:r w:rsidRPr="007C0D68">
        <w:rPr>
          <w:rFonts w:ascii="Verdana" w:hAnsi="Verdana" w:cs="Times New Roman"/>
          <w:sz w:val="20"/>
          <w:szCs w:val="20"/>
          <w:lang w:val="en-US"/>
        </w:rPr>
        <w:t xml:space="preserve">Reissbrodt R </w:t>
      </w:r>
      <w:proofErr w:type="gramStart"/>
      <w:r w:rsidRPr="007C0D68">
        <w:rPr>
          <w:rFonts w:ascii="Verdana" w:hAnsi="Verdana" w:cs="Times New Roman"/>
          <w:sz w:val="20"/>
          <w:szCs w:val="20"/>
          <w:lang w:val="en-US"/>
        </w:rPr>
        <w:t>et al.</w:t>
      </w:r>
      <w:proofErr w:type="gramEnd"/>
      <w:r w:rsidRPr="007C0D68">
        <w:rPr>
          <w:rFonts w:ascii="Verdana" w:hAnsi="Verdana" w:cs="Times New Roman"/>
          <w:sz w:val="20"/>
          <w:szCs w:val="20"/>
          <w:lang w:val="en-US"/>
        </w:rPr>
        <w:t xml:space="preserve"> Inhibition of growth of Shiga toxin-producing Escherichia coli by nonpathogenic Escherichia coli. </w:t>
      </w:r>
      <w:r w:rsidRPr="007C0D68">
        <w:rPr>
          <w:rFonts w:ascii="Verdana" w:hAnsi="Verdana" w:cs="Times New Roman"/>
          <w:sz w:val="20"/>
          <w:szCs w:val="20"/>
        </w:rPr>
        <w:t>FEMS Microbiol Lett 2009; 290: 62–69.</w:t>
      </w:r>
    </w:p>
    <w:p w14:paraId="2B325CFA" w14:textId="77777777" w:rsidR="00D122E9" w:rsidRPr="007C0D68" w:rsidRDefault="00D122E9" w:rsidP="00D122E9">
      <w:pPr>
        <w:pStyle w:val="Listenabsatz"/>
        <w:numPr>
          <w:ilvl w:val="0"/>
          <w:numId w:val="1"/>
        </w:numPr>
        <w:spacing w:after="0" w:line="240" w:lineRule="auto"/>
        <w:ind w:left="425" w:hanging="425"/>
        <w:rPr>
          <w:rFonts w:ascii="Verdana" w:hAnsi="Verdana" w:cs="Times New Roman"/>
          <w:sz w:val="20"/>
          <w:szCs w:val="20"/>
        </w:rPr>
      </w:pPr>
      <w:r w:rsidRPr="007C0D68">
        <w:rPr>
          <w:rFonts w:ascii="Verdana" w:hAnsi="Verdana" w:cs="Times New Roman"/>
          <w:sz w:val="20"/>
          <w:szCs w:val="20"/>
          <w:lang w:val="en-US"/>
        </w:rPr>
        <w:t xml:space="preserve">Rund SA et al. Antagonistic effects of probiotic Escherichia coli Nissle 1917 on EHEC strains of serotype O104:H4 and O157:H7. </w:t>
      </w:r>
      <w:r w:rsidRPr="007C0D68">
        <w:rPr>
          <w:rFonts w:ascii="Verdana" w:hAnsi="Verdana" w:cs="Times New Roman"/>
          <w:sz w:val="20"/>
          <w:szCs w:val="20"/>
        </w:rPr>
        <w:t>Int J Med Microbiol 2013; 303: 1–8.</w:t>
      </w:r>
    </w:p>
    <w:p w14:paraId="4625BA43" w14:textId="77777777" w:rsidR="00D122E9" w:rsidRPr="007C0D68" w:rsidRDefault="00D122E9" w:rsidP="00D122E9">
      <w:pPr>
        <w:pStyle w:val="Listenabsatz"/>
        <w:numPr>
          <w:ilvl w:val="0"/>
          <w:numId w:val="1"/>
        </w:numPr>
        <w:spacing w:after="0" w:line="240" w:lineRule="auto"/>
        <w:ind w:left="425" w:hanging="425"/>
        <w:rPr>
          <w:rFonts w:ascii="Verdana" w:hAnsi="Verdana" w:cs="Times New Roman"/>
          <w:sz w:val="20"/>
          <w:szCs w:val="20"/>
          <w:lang w:val="en-US"/>
        </w:rPr>
      </w:pPr>
      <w:r w:rsidRPr="007C0D68">
        <w:rPr>
          <w:rFonts w:ascii="Verdana" w:hAnsi="Verdana" w:cs="Times New Roman"/>
          <w:sz w:val="20"/>
          <w:szCs w:val="20"/>
          <w:lang w:val="en-US"/>
        </w:rPr>
        <w:t>Kruis W et al., A double-blind placebo-controlled trial to study therapeutic effects of probiotic Escherichia coli Nissle 1917 in subgroups of patients with irritable bowel syndrome. Int J Colorectal Dis 2012; 27(4): 467–474.</w:t>
      </w:r>
    </w:p>
    <w:p w14:paraId="30677535" w14:textId="77777777" w:rsidR="00D122E9" w:rsidRPr="007C0D68" w:rsidRDefault="00D122E9" w:rsidP="00D122E9">
      <w:pPr>
        <w:pStyle w:val="Listenabsatz"/>
        <w:numPr>
          <w:ilvl w:val="0"/>
          <w:numId w:val="1"/>
        </w:numPr>
        <w:spacing w:after="0" w:line="240" w:lineRule="auto"/>
        <w:ind w:left="425" w:hanging="425"/>
        <w:rPr>
          <w:rFonts w:ascii="Verdana" w:hAnsi="Verdana" w:cs="Times New Roman"/>
          <w:sz w:val="20"/>
          <w:szCs w:val="20"/>
        </w:rPr>
      </w:pPr>
      <w:r w:rsidRPr="007C0D68">
        <w:rPr>
          <w:rFonts w:ascii="Verdana" w:hAnsi="Verdana" w:cs="Times New Roman"/>
          <w:sz w:val="20"/>
          <w:szCs w:val="20"/>
          <w:lang w:val="en-US"/>
        </w:rPr>
        <w:t xml:space="preserve">Cichon C et al. DNA-Microarray-based comparison of cellular responses in polarized T84 epithelial cells triggered by probiotics: E. coli Nissle 1917 (EcN) and Lactobacillus acidophilus PZ1041. </w:t>
      </w:r>
      <w:r w:rsidRPr="007C0D68">
        <w:rPr>
          <w:rFonts w:ascii="Verdana" w:hAnsi="Verdana" w:cs="Times New Roman"/>
          <w:sz w:val="20"/>
          <w:szCs w:val="20"/>
        </w:rPr>
        <w:t>Gastroenterology 2004; 126(4): A-578.</w:t>
      </w:r>
    </w:p>
    <w:p w14:paraId="0C083611" w14:textId="77777777" w:rsidR="00D122E9" w:rsidRPr="007C0D68" w:rsidRDefault="00D122E9" w:rsidP="00D122E9">
      <w:pPr>
        <w:pStyle w:val="Listenabsatz"/>
        <w:numPr>
          <w:ilvl w:val="0"/>
          <w:numId w:val="1"/>
        </w:numPr>
        <w:spacing w:after="0" w:line="240" w:lineRule="auto"/>
        <w:ind w:left="425" w:hanging="425"/>
        <w:rPr>
          <w:rFonts w:ascii="Verdana" w:hAnsi="Verdana" w:cs="Times New Roman"/>
          <w:sz w:val="20"/>
          <w:szCs w:val="20"/>
        </w:rPr>
      </w:pPr>
      <w:r w:rsidRPr="007C0D68">
        <w:rPr>
          <w:rFonts w:ascii="Verdana" w:hAnsi="Verdana" w:cs="Times New Roman"/>
          <w:sz w:val="20"/>
          <w:szCs w:val="20"/>
          <w:lang w:val="en-US"/>
        </w:rPr>
        <w:t xml:space="preserve">Schultz M </w:t>
      </w:r>
      <w:proofErr w:type="gramStart"/>
      <w:r w:rsidRPr="007C0D68">
        <w:rPr>
          <w:rFonts w:ascii="Verdana" w:hAnsi="Verdana" w:cs="Times New Roman"/>
          <w:sz w:val="20"/>
          <w:szCs w:val="20"/>
          <w:lang w:val="en-US"/>
        </w:rPr>
        <w:t>et al.</w:t>
      </w:r>
      <w:proofErr w:type="gramEnd"/>
      <w:r w:rsidRPr="007C0D68">
        <w:rPr>
          <w:rFonts w:ascii="Verdana" w:hAnsi="Verdana" w:cs="Times New Roman"/>
          <w:sz w:val="20"/>
          <w:szCs w:val="20"/>
          <w:lang w:val="en-US"/>
        </w:rPr>
        <w:t xml:space="preserve"> Preventive effects of Escherichia coli strain Nissle 1917 on acute and chronic intestinal inflammation in two different murine models of colitis. </w:t>
      </w:r>
      <w:r w:rsidRPr="007C0D68">
        <w:rPr>
          <w:rFonts w:ascii="Verdana" w:hAnsi="Verdana" w:cs="Times New Roman"/>
          <w:sz w:val="20"/>
          <w:szCs w:val="20"/>
        </w:rPr>
        <w:t>Clin Diagn Lab Immunol 2004; 11(2): 372–378.</w:t>
      </w:r>
    </w:p>
    <w:p w14:paraId="320EEC6A" w14:textId="77777777" w:rsidR="00D122E9" w:rsidRPr="007C0D68" w:rsidRDefault="00D122E9" w:rsidP="00D122E9">
      <w:pPr>
        <w:pStyle w:val="Listenabsatz"/>
        <w:numPr>
          <w:ilvl w:val="0"/>
          <w:numId w:val="1"/>
        </w:numPr>
        <w:spacing w:after="0" w:line="240" w:lineRule="auto"/>
        <w:ind w:left="425" w:hanging="425"/>
        <w:rPr>
          <w:rFonts w:ascii="Verdana" w:hAnsi="Verdana" w:cs="Times New Roman"/>
          <w:sz w:val="20"/>
          <w:szCs w:val="20"/>
          <w:lang w:val="en-US"/>
        </w:rPr>
      </w:pPr>
      <w:r w:rsidRPr="007C0D68">
        <w:rPr>
          <w:rFonts w:ascii="Verdana" w:hAnsi="Verdana" w:cs="Times New Roman"/>
          <w:sz w:val="20"/>
          <w:szCs w:val="20"/>
          <w:lang w:val="en-US"/>
        </w:rPr>
        <w:t xml:space="preserve">Schlee M </w:t>
      </w:r>
      <w:proofErr w:type="gramStart"/>
      <w:r w:rsidRPr="007C0D68">
        <w:rPr>
          <w:rFonts w:ascii="Verdana" w:hAnsi="Verdana" w:cs="Times New Roman"/>
          <w:sz w:val="20"/>
          <w:szCs w:val="20"/>
          <w:lang w:val="en-US"/>
        </w:rPr>
        <w:t>et al.</w:t>
      </w:r>
      <w:proofErr w:type="gramEnd"/>
      <w:r w:rsidRPr="007C0D68">
        <w:rPr>
          <w:rFonts w:ascii="Verdana" w:hAnsi="Verdana" w:cs="Times New Roman"/>
          <w:sz w:val="20"/>
          <w:szCs w:val="20"/>
          <w:lang w:val="en-US"/>
        </w:rPr>
        <w:t xml:space="preserve"> Induction of human beta-defensin 2 by the probiotic Escherichia coli Nissle 1917 is mediated through </w:t>
      </w:r>
      <w:proofErr w:type="spellStart"/>
      <w:r w:rsidRPr="007C0D68">
        <w:rPr>
          <w:rFonts w:ascii="Verdana" w:hAnsi="Verdana" w:cs="Times New Roman"/>
          <w:sz w:val="20"/>
          <w:szCs w:val="20"/>
          <w:lang w:val="en-US"/>
        </w:rPr>
        <w:t>flagellin</w:t>
      </w:r>
      <w:proofErr w:type="spellEnd"/>
      <w:r w:rsidRPr="007C0D68">
        <w:rPr>
          <w:rFonts w:ascii="Verdana" w:hAnsi="Verdana" w:cs="Times New Roman"/>
          <w:sz w:val="20"/>
          <w:szCs w:val="20"/>
          <w:lang w:val="en-US"/>
        </w:rPr>
        <w:t>. Infect Immun 2007; 75(5): 2399–2407.</w:t>
      </w:r>
    </w:p>
    <w:p w14:paraId="019067DE" w14:textId="77777777" w:rsidR="00D122E9" w:rsidRPr="007C0D68" w:rsidRDefault="00D122E9" w:rsidP="00D122E9">
      <w:pPr>
        <w:pStyle w:val="Listenabsatz"/>
        <w:numPr>
          <w:ilvl w:val="0"/>
          <w:numId w:val="1"/>
        </w:numPr>
        <w:spacing w:after="0" w:line="240" w:lineRule="auto"/>
        <w:ind w:left="425" w:hanging="425"/>
        <w:rPr>
          <w:rFonts w:ascii="Verdana" w:hAnsi="Verdana" w:cs="Times New Roman"/>
          <w:sz w:val="20"/>
          <w:szCs w:val="20"/>
        </w:rPr>
      </w:pPr>
      <w:r w:rsidRPr="007C0D68">
        <w:rPr>
          <w:rFonts w:ascii="Verdana" w:hAnsi="Verdana" w:cs="Times New Roman"/>
          <w:sz w:val="20"/>
          <w:szCs w:val="20"/>
        </w:rPr>
        <w:t>Schulze J et al. Probiotika – Mikroökologie, Mikrobiologie, Qualität, Sicherheit und gesundheitliche Effekte. Hippokrates, Stuttgart, ISBN 978-3-8304-5356-7, 2008.</w:t>
      </w:r>
    </w:p>
    <w:p w14:paraId="1BED5C75" w14:textId="77777777" w:rsidR="00D122E9" w:rsidRPr="007C0D68" w:rsidRDefault="00D122E9" w:rsidP="00D122E9">
      <w:pPr>
        <w:pStyle w:val="Listenabsatz"/>
        <w:numPr>
          <w:ilvl w:val="0"/>
          <w:numId w:val="1"/>
        </w:numPr>
        <w:spacing w:after="0" w:line="240" w:lineRule="auto"/>
        <w:ind w:left="425" w:hanging="425"/>
        <w:rPr>
          <w:rFonts w:ascii="Verdana" w:hAnsi="Verdana" w:cs="Times New Roman"/>
          <w:sz w:val="20"/>
          <w:szCs w:val="20"/>
        </w:rPr>
      </w:pPr>
      <w:r w:rsidRPr="007C0D68">
        <w:rPr>
          <w:rFonts w:ascii="Verdana" w:hAnsi="Verdana" w:cs="Times New Roman"/>
          <w:sz w:val="20"/>
          <w:szCs w:val="20"/>
          <w:lang w:val="en-US"/>
        </w:rPr>
        <w:t xml:space="preserve">Sonnenborn U, Schulze J. The non-pathogenic Escherichia coli strain Nissle 1917 – features of a versatile probiotic. </w:t>
      </w:r>
      <w:r w:rsidRPr="007C0D68">
        <w:rPr>
          <w:rFonts w:ascii="Verdana" w:hAnsi="Verdana" w:cs="Times New Roman"/>
          <w:sz w:val="20"/>
          <w:szCs w:val="20"/>
        </w:rPr>
        <w:t>Microbial Ecol Health Dis 2009; 21: 122–158.</w:t>
      </w:r>
    </w:p>
    <w:p w14:paraId="7C00BFCE" w14:textId="77777777" w:rsidR="00D122E9" w:rsidRPr="007C0D68" w:rsidRDefault="00D122E9" w:rsidP="00D122E9">
      <w:pPr>
        <w:pStyle w:val="Listenabsatz"/>
        <w:numPr>
          <w:ilvl w:val="0"/>
          <w:numId w:val="1"/>
        </w:numPr>
        <w:spacing w:after="0" w:line="240" w:lineRule="auto"/>
        <w:ind w:left="425" w:hanging="425"/>
        <w:rPr>
          <w:rFonts w:ascii="Verdana" w:hAnsi="Verdana" w:cs="Times New Roman"/>
          <w:sz w:val="20"/>
          <w:szCs w:val="20"/>
        </w:rPr>
      </w:pPr>
      <w:r w:rsidRPr="007C0D68">
        <w:rPr>
          <w:rFonts w:ascii="Verdana" w:hAnsi="Verdana" w:cs="Times New Roman"/>
          <w:sz w:val="20"/>
          <w:szCs w:val="20"/>
        </w:rPr>
        <w:t>Schiemann M et al. 125 Jahre E. coli – Bedeutung in Forschung und Medizin. Alfred-Nissle-Gesellschaft (Hrsg.) Hagen, ISBN 3-9811198-4-3, 2015</w:t>
      </w:r>
    </w:p>
    <w:p w14:paraId="43CB3C3B" w14:textId="77777777" w:rsidR="00D122E9" w:rsidRPr="007C0D68" w:rsidRDefault="00D122E9" w:rsidP="00D122E9">
      <w:pPr>
        <w:pStyle w:val="Listenabsatz"/>
        <w:numPr>
          <w:ilvl w:val="0"/>
          <w:numId w:val="1"/>
        </w:numPr>
        <w:spacing w:after="0" w:line="240" w:lineRule="auto"/>
        <w:ind w:left="425" w:hanging="425"/>
        <w:rPr>
          <w:rFonts w:ascii="Verdana" w:hAnsi="Verdana" w:cs="Times New Roman"/>
          <w:sz w:val="20"/>
          <w:szCs w:val="20"/>
        </w:rPr>
      </w:pPr>
      <w:r w:rsidRPr="007C0D68">
        <w:rPr>
          <w:rFonts w:ascii="Verdana" w:hAnsi="Verdana" w:cs="Times New Roman"/>
          <w:sz w:val="20"/>
          <w:szCs w:val="20"/>
        </w:rPr>
        <w:t xml:space="preserve">Hacker J, Heesemann J. Molekulare Infektionsbiologie: Interaktionen zwischen Mikroorganismen und Zellen. Berlin: Spektrum </w:t>
      </w:r>
      <w:proofErr w:type="spellStart"/>
      <w:r w:rsidRPr="007C0D68">
        <w:rPr>
          <w:rFonts w:ascii="Verdana" w:hAnsi="Verdana" w:cs="Times New Roman"/>
          <w:sz w:val="20"/>
          <w:szCs w:val="20"/>
        </w:rPr>
        <w:t>Akademi</w:t>
      </w:r>
      <w:proofErr w:type="spellEnd"/>
    </w:p>
    <w:p w14:paraId="22CD34A1" w14:textId="77777777" w:rsidR="00D122E9" w:rsidRPr="007C0D68" w:rsidRDefault="00D122E9" w:rsidP="00D122E9">
      <w:pPr>
        <w:spacing w:line="360" w:lineRule="atLeast"/>
        <w:rPr>
          <w:rFonts w:ascii="Verdana" w:hAnsi="Verdana" w:cs="Times New Roman"/>
          <w:b/>
          <w:sz w:val="20"/>
          <w:szCs w:val="20"/>
        </w:rPr>
      </w:pPr>
    </w:p>
    <w:sectPr w:rsidR="00D122E9" w:rsidRPr="007C0D68" w:rsidSect="00FA5571">
      <w:headerReference w:type="default" r:id="rId11"/>
      <w:footerReference w:type="even" r:id="rId12"/>
      <w:footerReference w:type="default" r:id="rId13"/>
      <w:pgSz w:w="11900" w:h="16840"/>
      <w:pgMar w:top="3119" w:right="1695" w:bottom="709" w:left="1701" w:header="709" w:footer="709" w:gutter="0"/>
      <w:cols w:space="70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E88BDA" w14:textId="77777777" w:rsidR="00426A9B" w:rsidRDefault="00426A9B">
      <w:r>
        <w:separator/>
      </w:r>
    </w:p>
  </w:endnote>
  <w:endnote w:type="continuationSeparator" w:id="0">
    <w:p w14:paraId="71B81F66" w14:textId="77777777" w:rsidR="00426A9B" w:rsidRDefault="00426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MingLiU">
    <w:panose1 w:val="02020509000000000000"/>
    <w:charset w:val="88"/>
    <w:family w:val="auto"/>
    <w:pitch w:val="variable"/>
    <w:sig w:usb0="A00002FF" w:usb1="28CFFCFA" w:usb2="00000016" w:usb3="00000000" w:csb0="001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0B003" w14:textId="77777777" w:rsidR="0020599C" w:rsidRDefault="0020599C" w:rsidP="00B468F3">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4D5958EE" w14:textId="77777777" w:rsidR="007F4E3C" w:rsidRDefault="007F4E3C">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D3CB5" w14:textId="77777777" w:rsidR="0020599C" w:rsidRPr="007C0D68" w:rsidRDefault="0020599C" w:rsidP="001A4986">
    <w:pPr>
      <w:pStyle w:val="Fuzeile"/>
      <w:framePr w:wrap="none" w:vAnchor="text" w:hAnchor="margin" w:xAlign="center" w:y="1"/>
      <w:jc w:val="center"/>
      <w:rPr>
        <w:rStyle w:val="Seitenzahl"/>
        <w:rFonts w:ascii="Verdana" w:hAnsi="Verdana"/>
        <w:sz w:val="20"/>
        <w:szCs w:val="18"/>
      </w:rPr>
    </w:pPr>
    <w:r w:rsidRPr="007C0D68">
      <w:rPr>
        <w:rStyle w:val="Seitenzahl"/>
        <w:rFonts w:ascii="Verdana" w:hAnsi="Verdana"/>
        <w:sz w:val="20"/>
        <w:szCs w:val="18"/>
      </w:rPr>
      <w:fldChar w:fldCharType="begin"/>
    </w:r>
    <w:r w:rsidRPr="007C0D68">
      <w:rPr>
        <w:rStyle w:val="Seitenzahl"/>
        <w:rFonts w:ascii="Verdana" w:hAnsi="Verdana"/>
        <w:sz w:val="20"/>
        <w:szCs w:val="18"/>
      </w:rPr>
      <w:instrText xml:space="preserve">PAGE  </w:instrText>
    </w:r>
    <w:r w:rsidRPr="007C0D68">
      <w:rPr>
        <w:rStyle w:val="Seitenzahl"/>
        <w:rFonts w:ascii="Verdana" w:hAnsi="Verdana"/>
        <w:sz w:val="20"/>
        <w:szCs w:val="18"/>
      </w:rPr>
      <w:fldChar w:fldCharType="separate"/>
    </w:r>
    <w:r w:rsidR="00FA5571">
      <w:rPr>
        <w:rStyle w:val="Seitenzahl"/>
        <w:rFonts w:ascii="Verdana" w:hAnsi="Verdana"/>
        <w:noProof/>
        <w:sz w:val="20"/>
        <w:szCs w:val="18"/>
      </w:rPr>
      <w:t>7</w:t>
    </w:r>
    <w:r w:rsidRPr="007C0D68">
      <w:rPr>
        <w:rStyle w:val="Seitenzahl"/>
        <w:rFonts w:ascii="Verdana" w:hAnsi="Verdana"/>
        <w:sz w:val="20"/>
        <w:szCs w:val="18"/>
      </w:rPr>
      <w:fldChar w:fldCharType="end"/>
    </w:r>
  </w:p>
  <w:p w14:paraId="0B17A8FF" w14:textId="77777777" w:rsidR="007F4E3C" w:rsidRDefault="007F4E3C" w:rsidP="007C0D68">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0C9E00" w14:textId="77777777" w:rsidR="00426A9B" w:rsidRDefault="00426A9B">
      <w:r>
        <w:separator/>
      </w:r>
    </w:p>
  </w:footnote>
  <w:footnote w:type="continuationSeparator" w:id="0">
    <w:p w14:paraId="1F90EFD4" w14:textId="77777777" w:rsidR="00426A9B" w:rsidRDefault="00426A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DF7AA" w14:textId="77777777" w:rsidR="00ED1BE0" w:rsidRDefault="00557C11" w:rsidP="00E553DC">
    <w:pPr>
      <w:pStyle w:val="Kopfzeile"/>
      <w:ind w:left="284"/>
    </w:pPr>
    <w:r>
      <w:rPr>
        <w:noProof/>
        <w:lang w:eastAsia="de-DE"/>
      </w:rPr>
      <w:drawing>
        <wp:anchor distT="0" distB="0" distL="114300" distR="114300" simplePos="0" relativeHeight="251658240" behindDoc="1" locked="0" layoutInCell="1" allowOverlap="1" wp14:anchorId="6AE96716" wp14:editId="1724B7F2">
          <wp:simplePos x="0" y="0"/>
          <wp:positionH relativeFrom="page">
            <wp:posOffset>-1760</wp:posOffset>
          </wp:positionH>
          <wp:positionV relativeFrom="page">
            <wp:posOffset>0</wp:posOffset>
          </wp:positionV>
          <wp:extent cx="7560000" cy="1548290"/>
          <wp:effectExtent l="25400" t="0" r="9200" b="0"/>
          <wp:wrapNone/>
          <wp:docPr id="1" name="Bild 1" descr="alfred-nissle-gesellshaft-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fred-nissle-gesellshaft-BG.jpg"/>
                  <pic:cNvPicPr/>
                </pic:nvPicPr>
                <pic:blipFill>
                  <a:blip r:embed="rId1"/>
                  <a:stretch>
                    <a:fillRect/>
                  </a:stretch>
                </pic:blipFill>
                <pic:spPr>
                  <a:xfrm>
                    <a:off x="0" y="0"/>
                    <a:ext cx="7560000" cy="154829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80A0A"/>
    <w:multiLevelType w:val="hybridMultilevel"/>
    <w:tmpl w:val="B17EC6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2079014A"/>
    <w:multiLevelType w:val="hybridMultilevel"/>
    <w:tmpl w:val="244CF490"/>
    <w:lvl w:ilvl="0" w:tplc="04070001">
      <w:start w:val="1"/>
      <w:numFmt w:val="bullet"/>
      <w:lvlText w:val=""/>
      <w:lvlJc w:val="left"/>
      <w:pPr>
        <w:ind w:left="-351" w:hanging="360"/>
      </w:pPr>
      <w:rPr>
        <w:rFonts w:ascii="Symbol" w:hAnsi="Symbol" w:hint="default"/>
      </w:rPr>
    </w:lvl>
    <w:lvl w:ilvl="1" w:tplc="04070003" w:tentative="1">
      <w:start w:val="1"/>
      <w:numFmt w:val="bullet"/>
      <w:lvlText w:val="o"/>
      <w:lvlJc w:val="left"/>
      <w:pPr>
        <w:ind w:left="369" w:hanging="360"/>
      </w:pPr>
      <w:rPr>
        <w:rFonts w:ascii="Courier New" w:hAnsi="Courier New" w:cs="Courier New" w:hint="default"/>
      </w:rPr>
    </w:lvl>
    <w:lvl w:ilvl="2" w:tplc="04070005" w:tentative="1">
      <w:start w:val="1"/>
      <w:numFmt w:val="bullet"/>
      <w:lvlText w:val=""/>
      <w:lvlJc w:val="left"/>
      <w:pPr>
        <w:ind w:left="1089" w:hanging="360"/>
      </w:pPr>
      <w:rPr>
        <w:rFonts w:ascii="Wingdings" w:hAnsi="Wingdings" w:hint="default"/>
      </w:rPr>
    </w:lvl>
    <w:lvl w:ilvl="3" w:tplc="04070001" w:tentative="1">
      <w:start w:val="1"/>
      <w:numFmt w:val="bullet"/>
      <w:lvlText w:val=""/>
      <w:lvlJc w:val="left"/>
      <w:pPr>
        <w:ind w:left="1809" w:hanging="360"/>
      </w:pPr>
      <w:rPr>
        <w:rFonts w:ascii="Symbol" w:hAnsi="Symbol" w:hint="default"/>
      </w:rPr>
    </w:lvl>
    <w:lvl w:ilvl="4" w:tplc="04070003" w:tentative="1">
      <w:start w:val="1"/>
      <w:numFmt w:val="bullet"/>
      <w:lvlText w:val="o"/>
      <w:lvlJc w:val="left"/>
      <w:pPr>
        <w:ind w:left="2529" w:hanging="360"/>
      </w:pPr>
      <w:rPr>
        <w:rFonts w:ascii="Courier New" w:hAnsi="Courier New" w:cs="Courier New" w:hint="default"/>
      </w:rPr>
    </w:lvl>
    <w:lvl w:ilvl="5" w:tplc="04070005" w:tentative="1">
      <w:start w:val="1"/>
      <w:numFmt w:val="bullet"/>
      <w:lvlText w:val=""/>
      <w:lvlJc w:val="left"/>
      <w:pPr>
        <w:ind w:left="3249" w:hanging="360"/>
      </w:pPr>
      <w:rPr>
        <w:rFonts w:ascii="Wingdings" w:hAnsi="Wingdings" w:hint="default"/>
      </w:rPr>
    </w:lvl>
    <w:lvl w:ilvl="6" w:tplc="04070001" w:tentative="1">
      <w:start w:val="1"/>
      <w:numFmt w:val="bullet"/>
      <w:lvlText w:val=""/>
      <w:lvlJc w:val="left"/>
      <w:pPr>
        <w:ind w:left="3969" w:hanging="360"/>
      </w:pPr>
      <w:rPr>
        <w:rFonts w:ascii="Symbol" w:hAnsi="Symbol" w:hint="default"/>
      </w:rPr>
    </w:lvl>
    <w:lvl w:ilvl="7" w:tplc="04070003" w:tentative="1">
      <w:start w:val="1"/>
      <w:numFmt w:val="bullet"/>
      <w:lvlText w:val="o"/>
      <w:lvlJc w:val="left"/>
      <w:pPr>
        <w:ind w:left="4689" w:hanging="360"/>
      </w:pPr>
      <w:rPr>
        <w:rFonts w:ascii="Courier New" w:hAnsi="Courier New" w:cs="Courier New" w:hint="default"/>
      </w:rPr>
    </w:lvl>
    <w:lvl w:ilvl="8" w:tplc="04070005" w:tentative="1">
      <w:start w:val="1"/>
      <w:numFmt w:val="bullet"/>
      <w:lvlText w:val=""/>
      <w:lvlJc w:val="left"/>
      <w:pPr>
        <w:ind w:left="5409" w:hanging="360"/>
      </w:pPr>
      <w:rPr>
        <w:rFonts w:ascii="Wingdings" w:hAnsi="Wingdings" w:hint="default"/>
      </w:rPr>
    </w:lvl>
  </w:abstractNum>
  <w:abstractNum w:abstractNumId="2">
    <w:nsid w:val="64A256D7"/>
    <w:multiLevelType w:val="hybridMultilevel"/>
    <w:tmpl w:val="5854F8C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6C332812"/>
    <w:multiLevelType w:val="hybridMultilevel"/>
    <w:tmpl w:val="CF80EAC4"/>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155" w:hanging="360"/>
      </w:pPr>
    </w:lvl>
    <w:lvl w:ilvl="2" w:tplc="0407001B" w:tentative="1">
      <w:start w:val="1"/>
      <w:numFmt w:val="lowerRoman"/>
      <w:lvlText w:val="%3."/>
      <w:lvlJc w:val="right"/>
      <w:pPr>
        <w:ind w:left="1875" w:hanging="180"/>
      </w:pPr>
    </w:lvl>
    <w:lvl w:ilvl="3" w:tplc="0407000F" w:tentative="1">
      <w:start w:val="1"/>
      <w:numFmt w:val="decimal"/>
      <w:lvlText w:val="%4."/>
      <w:lvlJc w:val="left"/>
      <w:pPr>
        <w:ind w:left="2595" w:hanging="360"/>
      </w:pPr>
    </w:lvl>
    <w:lvl w:ilvl="4" w:tplc="04070019" w:tentative="1">
      <w:start w:val="1"/>
      <w:numFmt w:val="lowerLetter"/>
      <w:lvlText w:val="%5."/>
      <w:lvlJc w:val="left"/>
      <w:pPr>
        <w:ind w:left="3315" w:hanging="360"/>
      </w:pPr>
    </w:lvl>
    <w:lvl w:ilvl="5" w:tplc="0407001B" w:tentative="1">
      <w:start w:val="1"/>
      <w:numFmt w:val="lowerRoman"/>
      <w:lvlText w:val="%6."/>
      <w:lvlJc w:val="right"/>
      <w:pPr>
        <w:ind w:left="4035" w:hanging="180"/>
      </w:pPr>
    </w:lvl>
    <w:lvl w:ilvl="6" w:tplc="0407000F" w:tentative="1">
      <w:start w:val="1"/>
      <w:numFmt w:val="decimal"/>
      <w:lvlText w:val="%7."/>
      <w:lvlJc w:val="left"/>
      <w:pPr>
        <w:ind w:left="4755" w:hanging="360"/>
      </w:pPr>
    </w:lvl>
    <w:lvl w:ilvl="7" w:tplc="04070019" w:tentative="1">
      <w:start w:val="1"/>
      <w:numFmt w:val="lowerLetter"/>
      <w:lvlText w:val="%8."/>
      <w:lvlJc w:val="left"/>
      <w:pPr>
        <w:ind w:left="5475" w:hanging="360"/>
      </w:pPr>
    </w:lvl>
    <w:lvl w:ilvl="8" w:tplc="0407001B" w:tentative="1">
      <w:start w:val="1"/>
      <w:numFmt w:val="lowerRoman"/>
      <w:lvlText w:val="%9."/>
      <w:lvlJc w:val="right"/>
      <w:pPr>
        <w:ind w:left="6195"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grammar="clean"/>
  <w:defaultTabStop w:val="708"/>
  <w:hyphenationZone w:val="425"/>
  <w:drawingGridHorizontalSpacing w:val="110"/>
  <w:drawingGridVerticalSpacing w:val="299"/>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F18"/>
    <w:rsid w:val="000116EB"/>
    <w:rsid w:val="00011F1E"/>
    <w:rsid w:val="000178B4"/>
    <w:rsid w:val="00040195"/>
    <w:rsid w:val="00092F14"/>
    <w:rsid w:val="000A0E79"/>
    <w:rsid w:val="000A1D8E"/>
    <w:rsid w:val="00103869"/>
    <w:rsid w:val="00111D58"/>
    <w:rsid w:val="00142B4F"/>
    <w:rsid w:val="0014441C"/>
    <w:rsid w:val="001469B2"/>
    <w:rsid w:val="00152343"/>
    <w:rsid w:val="00155AD4"/>
    <w:rsid w:val="00167031"/>
    <w:rsid w:val="001A4986"/>
    <w:rsid w:val="001C55D0"/>
    <w:rsid w:val="001F5A1F"/>
    <w:rsid w:val="0020599C"/>
    <w:rsid w:val="00265292"/>
    <w:rsid w:val="002C28F8"/>
    <w:rsid w:val="00312D18"/>
    <w:rsid w:val="003163C9"/>
    <w:rsid w:val="00323392"/>
    <w:rsid w:val="00334C8A"/>
    <w:rsid w:val="00350840"/>
    <w:rsid w:val="0037460A"/>
    <w:rsid w:val="00375C60"/>
    <w:rsid w:val="003B0663"/>
    <w:rsid w:val="003E387B"/>
    <w:rsid w:val="00426A9B"/>
    <w:rsid w:val="00446E43"/>
    <w:rsid w:val="0046183D"/>
    <w:rsid w:val="00491648"/>
    <w:rsid w:val="004C731B"/>
    <w:rsid w:val="004D5864"/>
    <w:rsid w:val="004F6D5E"/>
    <w:rsid w:val="00557C11"/>
    <w:rsid w:val="005772AF"/>
    <w:rsid w:val="00584987"/>
    <w:rsid w:val="00593163"/>
    <w:rsid w:val="006074EE"/>
    <w:rsid w:val="00623EE4"/>
    <w:rsid w:val="0062483D"/>
    <w:rsid w:val="00627C4E"/>
    <w:rsid w:val="00696423"/>
    <w:rsid w:val="006A33B6"/>
    <w:rsid w:val="006A4262"/>
    <w:rsid w:val="006B76BD"/>
    <w:rsid w:val="006C20F1"/>
    <w:rsid w:val="006E400C"/>
    <w:rsid w:val="00711A8D"/>
    <w:rsid w:val="00736A83"/>
    <w:rsid w:val="00780674"/>
    <w:rsid w:val="00790C61"/>
    <w:rsid w:val="007A579C"/>
    <w:rsid w:val="007B6F9F"/>
    <w:rsid w:val="007C0D68"/>
    <w:rsid w:val="007C1F8B"/>
    <w:rsid w:val="007E0435"/>
    <w:rsid w:val="007F32B5"/>
    <w:rsid w:val="007F4E3C"/>
    <w:rsid w:val="00807F57"/>
    <w:rsid w:val="00870650"/>
    <w:rsid w:val="008C060B"/>
    <w:rsid w:val="008D228A"/>
    <w:rsid w:val="00934283"/>
    <w:rsid w:val="009765E1"/>
    <w:rsid w:val="00997194"/>
    <w:rsid w:val="009C738F"/>
    <w:rsid w:val="009E5E90"/>
    <w:rsid w:val="009E73B7"/>
    <w:rsid w:val="00A32636"/>
    <w:rsid w:val="00A44FD4"/>
    <w:rsid w:val="00A533BD"/>
    <w:rsid w:val="00A64C01"/>
    <w:rsid w:val="00A74832"/>
    <w:rsid w:val="00AA39AA"/>
    <w:rsid w:val="00AA5849"/>
    <w:rsid w:val="00AB4665"/>
    <w:rsid w:val="00AD21A0"/>
    <w:rsid w:val="00AF2EFA"/>
    <w:rsid w:val="00AF4B87"/>
    <w:rsid w:val="00B310BB"/>
    <w:rsid w:val="00B6208C"/>
    <w:rsid w:val="00BB654A"/>
    <w:rsid w:val="00BC4798"/>
    <w:rsid w:val="00BD5B75"/>
    <w:rsid w:val="00BE3BBE"/>
    <w:rsid w:val="00BF5A6C"/>
    <w:rsid w:val="00C27A7C"/>
    <w:rsid w:val="00C477E9"/>
    <w:rsid w:val="00C47894"/>
    <w:rsid w:val="00C755CB"/>
    <w:rsid w:val="00C76F78"/>
    <w:rsid w:val="00CA32B3"/>
    <w:rsid w:val="00D0355B"/>
    <w:rsid w:val="00D122E9"/>
    <w:rsid w:val="00D25897"/>
    <w:rsid w:val="00D51DD8"/>
    <w:rsid w:val="00D80FB2"/>
    <w:rsid w:val="00DA4B08"/>
    <w:rsid w:val="00DB3DDC"/>
    <w:rsid w:val="00DE3F27"/>
    <w:rsid w:val="00DF5ACE"/>
    <w:rsid w:val="00E168D1"/>
    <w:rsid w:val="00E252D9"/>
    <w:rsid w:val="00E33D19"/>
    <w:rsid w:val="00E553DC"/>
    <w:rsid w:val="00E62D4F"/>
    <w:rsid w:val="00E76326"/>
    <w:rsid w:val="00E83F1C"/>
    <w:rsid w:val="00ED0CA2"/>
    <w:rsid w:val="00ED1BE0"/>
    <w:rsid w:val="00EE5450"/>
    <w:rsid w:val="00F255EA"/>
    <w:rsid w:val="00F44FFA"/>
    <w:rsid w:val="00F45716"/>
    <w:rsid w:val="00F47C92"/>
    <w:rsid w:val="00F51F18"/>
    <w:rsid w:val="00F75392"/>
    <w:rsid w:val="00F93763"/>
    <w:rsid w:val="00FA0892"/>
    <w:rsid w:val="00FA5571"/>
    <w:rsid w:val="00FC1F02"/>
    <w:rsid w:val="00FD6A61"/>
  </w:rsids>
  <m:mathPr>
    <m:mathFont m:val="Cambria Math"/>
    <m:brkBin m:val="before"/>
    <m:brkBinSub m:val="--"/>
    <m:smallFrac/>
    <m:dispDef/>
    <m:lMargin m:val="0"/>
    <m:rMargin m:val="0"/>
    <m:defJc m:val="centerGroup"/>
    <m:wrapRight/>
    <m:intLim m:val="subSup"/>
    <m:naryLim m:val="subSup"/>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94F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82">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8C060B"/>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1F18"/>
    <w:pPr>
      <w:tabs>
        <w:tab w:val="center" w:pos="4703"/>
        <w:tab w:val="right" w:pos="9406"/>
      </w:tabs>
    </w:pPr>
  </w:style>
  <w:style w:type="character" w:customStyle="1" w:styleId="KopfzeileZchn">
    <w:name w:val="Kopfzeile Zchn"/>
    <w:basedOn w:val="Absatz-Standardschriftart"/>
    <w:link w:val="Kopfzeile"/>
    <w:uiPriority w:val="99"/>
    <w:rsid w:val="00F51F18"/>
  </w:style>
  <w:style w:type="paragraph" w:styleId="Fuzeile">
    <w:name w:val="footer"/>
    <w:basedOn w:val="Standard"/>
    <w:link w:val="FuzeileZchn"/>
    <w:uiPriority w:val="99"/>
    <w:unhideWhenUsed/>
    <w:rsid w:val="00F51F18"/>
    <w:pPr>
      <w:tabs>
        <w:tab w:val="center" w:pos="4703"/>
        <w:tab w:val="right" w:pos="9406"/>
      </w:tabs>
    </w:pPr>
  </w:style>
  <w:style w:type="character" w:customStyle="1" w:styleId="FuzeileZchn">
    <w:name w:val="Fußzeile Zchn"/>
    <w:basedOn w:val="Absatz-Standardschriftart"/>
    <w:link w:val="Fuzeile"/>
    <w:uiPriority w:val="99"/>
    <w:rsid w:val="00F51F18"/>
  </w:style>
  <w:style w:type="paragraph" w:customStyle="1" w:styleId="EinfAbs">
    <w:name w:val="[Einf. Abs.]"/>
    <w:basedOn w:val="Standard"/>
    <w:uiPriority w:val="99"/>
    <w:rsid w:val="005772AF"/>
    <w:pPr>
      <w:widowControl w:val="0"/>
      <w:autoSpaceDE w:val="0"/>
      <w:autoSpaceDN w:val="0"/>
      <w:adjustRightInd w:val="0"/>
      <w:spacing w:after="113" w:line="360" w:lineRule="atLeast"/>
      <w:textAlignment w:val="center"/>
    </w:pPr>
    <w:rPr>
      <w:rFonts w:ascii="MinionPro-Regular" w:hAnsi="MinionPro-Regular" w:cs="MinionPro-Regular"/>
      <w:color w:val="000000"/>
      <w:spacing w:val="2"/>
    </w:rPr>
  </w:style>
  <w:style w:type="character" w:customStyle="1" w:styleId="bold">
    <w:name w:val="bold"/>
    <w:uiPriority w:val="99"/>
    <w:rsid w:val="005772AF"/>
    <w:rPr>
      <w:b/>
      <w:bCs/>
    </w:rPr>
  </w:style>
  <w:style w:type="paragraph" w:customStyle="1" w:styleId="TitelPressemitteilung">
    <w:name w:val="_Titel Pressemitteilung"/>
    <w:qFormat/>
    <w:rsid w:val="00111D58"/>
    <w:rPr>
      <w:rFonts w:ascii="Times New Roman" w:hAnsi="Times New Roman" w:cs="MinionPro-Regular"/>
      <w:b/>
      <w:color w:val="000000"/>
      <w:spacing w:val="2"/>
    </w:rPr>
  </w:style>
  <w:style w:type="character" w:customStyle="1" w:styleId="italic">
    <w:name w:val="italic"/>
    <w:uiPriority w:val="99"/>
    <w:rsid w:val="00ED1BE0"/>
    <w:rPr>
      <w:i/>
      <w:iCs/>
    </w:rPr>
  </w:style>
  <w:style w:type="paragraph" w:customStyle="1" w:styleId="Pressetext">
    <w:name w:val="_Pressetext"/>
    <w:basedOn w:val="EinfAbs"/>
    <w:qFormat/>
    <w:rsid w:val="00ED1BE0"/>
    <w:rPr>
      <w:rFonts w:ascii="Times New Roman" w:hAnsi="Times New Roman"/>
    </w:rPr>
  </w:style>
  <w:style w:type="paragraph" w:styleId="Sprechblasentext">
    <w:name w:val="Balloon Text"/>
    <w:basedOn w:val="Standard"/>
    <w:link w:val="SprechblasentextZchn"/>
    <w:rsid w:val="00375C60"/>
    <w:rPr>
      <w:rFonts w:ascii="Tahoma" w:hAnsi="Tahoma" w:cs="Tahoma"/>
      <w:sz w:val="16"/>
      <w:szCs w:val="16"/>
    </w:rPr>
  </w:style>
  <w:style w:type="character" w:customStyle="1" w:styleId="SprechblasentextZchn">
    <w:name w:val="Sprechblasentext Zchn"/>
    <w:basedOn w:val="Absatz-Standardschriftart"/>
    <w:link w:val="Sprechblasentext"/>
    <w:rsid w:val="00375C60"/>
    <w:rPr>
      <w:rFonts w:ascii="Tahoma" w:hAnsi="Tahoma" w:cs="Tahoma"/>
      <w:sz w:val="16"/>
      <w:szCs w:val="16"/>
    </w:rPr>
  </w:style>
  <w:style w:type="paragraph" w:styleId="Listenabsatz">
    <w:name w:val="List Paragraph"/>
    <w:basedOn w:val="Standard"/>
    <w:uiPriority w:val="34"/>
    <w:qFormat/>
    <w:rsid w:val="008C060B"/>
    <w:pPr>
      <w:ind w:left="720"/>
      <w:contextualSpacing/>
    </w:pPr>
  </w:style>
  <w:style w:type="character" w:styleId="Kommentarzeichen">
    <w:name w:val="annotation reference"/>
    <w:basedOn w:val="Absatz-Standardschriftart"/>
    <w:uiPriority w:val="99"/>
    <w:semiHidden/>
    <w:unhideWhenUsed/>
    <w:rsid w:val="008C060B"/>
    <w:rPr>
      <w:sz w:val="18"/>
      <w:szCs w:val="18"/>
    </w:rPr>
  </w:style>
  <w:style w:type="paragraph" w:styleId="Kommentartext">
    <w:name w:val="annotation text"/>
    <w:basedOn w:val="Standard"/>
    <w:link w:val="KommentartextZchn"/>
    <w:uiPriority w:val="99"/>
    <w:semiHidden/>
    <w:unhideWhenUsed/>
    <w:rsid w:val="008C060B"/>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8C060B"/>
  </w:style>
  <w:style w:type="paragraph" w:styleId="Kommentarthema">
    <w:name w:val="annotation subject"/>
    <w:basedOn w:val="Kommentartext"/>
    <w:next w:val="Kommentartext"/>
    <w:link w:val="KommentarthemaZchn"/>
    <w:semiHidden/>
    <w:unhideWhenUsed/>
    <w:rsid w:val="00AF4B87"/>
    <w:rPr>
      <w:b/>
      <w:bCs/>
      <w:sz w:val="20"/>
      <w:szCs w:val="20"/>
    </w:rPr>
  </w:style>
  <w:style w:type="character" w:customStyle="1" w:styleId="KommentarthemaZchn">
    <w:name w:val="Kommentarthema Zchn"/>
    <w:basedOn w:val="KommentartextZchn"/>
    <w:link w:val="Kommentarthema"/>
    <w:semiHidden/>
    <w:rsid w:val="00AF4B87"/>
    <w:rPr>
      <w:b/>
      <w:bCs/>
      <w:sz w:val="20"/>
      <w:szCs w:val="20"/>
    </w:rPr>
  </w:style>
  <w:style w:type="table" w:styleId="Tabellenraster">
    <w:name w:val="Table Grid"/>
    <w:basedOn w:val="NormaleTabelle"/>
    <w:uiPriority w:val="59"/>
    <w:rsid w:val="00D122E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eitenzahl">
    <w:name w:val="page number"/>
    <w:basedOn w:val="Absatz-Standardschriftart"/>
    <w:semiHidden/>
    <w:unhideWhenUsed/>
    <w:rsid w:val="00205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8B731-41EE-3949-AC69-12CAA7457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1801</Words>
  <Characters>11227</Characters>
  <Application>Microsoft Macintosh Word</Application>
  <DocSecurity>0</DocSecurity>
  <Lines>207</Lines>
  <Paragraphs>65</Paragraphs>
  <ScaleCrop>false</ScaleCrop>
  <HeadingPairs>
    <vt:vector size="2" baseType="variant">
      <vt:variant>
        <vt:lpstr>Titel</vt:lpstr>
      </vt:variant>
      <vt:variant>
        <vt:i4>1</vt:i4>
      </vt:variant>
    </vt:vector>
  </HeadingPairs>
  <TitlesOfParts>
    <vt:vector size="1" baseType="lpstr">
      <vt:lpstr/>
    </vt:vector>
  </TitlesOfParts>
  <Manager/>
  <Company>Ammersee Communication</Company>
  <LinksUpToDate>false</LinksUpToDate>
  <CharactersWithSpaces>12963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Schwarz</dc:creator>
  <cp:keywords/>
  <dc:description/>
  <cp:lastModifiedBy>Steffen Schwab</cp:lastModifiedBy>
  <cp:revision>13</cp:revision>
  <cp:lastPrinted>2017-04-24T15:50:00Z</cp:lastPrinted>
  <dcterms:created xsi:type="dcterms:W3CDTF">2017-03-30T13:26:00Z</dcterms:created>
  <dcterms:modified xsi:type="dcterms:W3CDTF">2017-04-24T16:18:00Z</dcterms:modified>
  <cp:category/>
</cp:coreProperties>
</file>